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BF" w:rsidRDefault="00DD3BBF" w:rsidP="00DD3BBF">
      <w:pPr>
        <w:autoSpaceDE w:val="0"/>
        <w:autoSpaceDN w:val="0"/>
        <w:adjustRightInd w:val="0"/>
        <w:spacing w:after="0" w:line="360" w:lineRule="auto"/>
        <w:rPr>
          <w:rFonts w:cs="Times New Roman"/>
          <w:b/>
          <w:sz w:val="24"/>
          <w:szCs w:val="24"/>
        </w:rPr>
      </w:pPr>
      <w:bookmarkStart w:id="0" w:name="_GoBack"/>
      <w:bookmarkEnd w:id="0"/>
      <w:r>
        <w:rPr>
          <w:rFonts w:cs="Times New Roman"/>
          <w:b/>
          <w:sz w:val="24"/>
          <w:szCs w:val="24"/>
        </w:rPr>
        <w:t xml:space="preserve">Barriers preventing early testing and diagnosis of </w:t>
      </w:r>
      <w:r w:rsidRPr="00E26753">
        <w:rPr>
          <w:rFonts w:cs="Times New Roman"/>
          <w:b/>
          <w:sz w:val="24"/>
          <w:szCs w:val="24"/>
        </w:rPr>
        <w:t>HIV</w:t>
      </w:r>
      <w:r>
        <w:rPr>
          <w:rFonts w:cs="Times New Roman"/>
          <w:b/>
          <w:sz w:val="24"/>
          <w:szCs w:val="24"/>
        </w:rPr>
        <w:t xml:space="preserve">: results of a five-year retrospective review of clinical data for those diagnosed HIV positive in two European regions. </w:t>
      </w:r>
    </w:p>
    <w:p w:rsidR="00F54097" w:rsidRPr="00451465" w:rsidRDefault="00F54097" w:rsidP="00E26753">
      <w:pPr>
        <w:autoSpaceDE w:val="0"/>
        <w:autoSpaceDN w:val="0"/>
        <w:adjustRightInd w:val="0"/>
        <w:spacing w:after="0" w:line="360" w:lineRule="auto"/>
        <w:rPr>
          <w:rFonts w:cs="Times New Roman"/>
          <w:sz w:val="24"/>
          <w:szCs w:val="24"/>
        </w:rPr>
      </w:pPr>
    </w:p>
    <w:p w:rsidR="00ED561A" w:rsidRDefault="00E26753" w:rsidP="00E26753">
      <w:pPr>
        <w:autoSpaceDE w:val="0"/>
        <w:autoSpaceDN w:val="0"/>
        <w:adjustRightInd w:val="0"/>
        <w:spacing w:after="0" w:line="360" w:lineRule="auto"/>
        <w:rPr>
          <w:rFonts w:cs="Times New Roman"/>
        </w:rPr>
      </w:pPr>
      <w:r w:rsidRPr="00ED561A">
        <w:rPr>
          <w:rFonts w:cs="Times New Roman"/>
          <w:b/>
          <w:sz w:val="24"/>
          <w:szCs w:val="24"/>
        </w:rPr>
        <w:t>Abstract</w:t>
      </w:r>
      <w:r w:rsidR="0053609C" w:rsidRPr="00E26753">
        <w:rPr>
          <w:rFonts w:cs="Times New Roman"/>
          <w:b/>
        </w:rPr>
        <w:br/>
      </w:r>
      <w:r w:rsidR="00ED561A" w:rsidRPr="00ED561A">
        <w:rPr>
          <w:rFonts w:cs="Times New Roman"/>
          <w:i/>
        </w:rPr>
        <w:t>Background:</w:t>
      </w:r>
      <w:r w:rsidR="00ED561A">
        <w:rPr>
          <w:rFonts w:cs="Times New Roman"/>
        </w:rPr>
        <w:t xml:space="preserve"> </w:t>
      </w:r>
      <w:r>
        <w:rPr>
          <w:rFonts w:cs="Times New Roman"/>
        </w:rPr>
        <w:t>L</w:t>
      </w:r>
      <w:r w:rsidR="0053609C" w:rsidRPr="00E26753">
        <w:rPr>
          <w:rFonts w:cs="Times New Roman"/>
        </w:rPr>
        <w:t>ate diagnosis of HIV is detrimental to patients, resulting in increased morbidity</w:t>
      </w:r>
      <w:r>
        <w:rPr>
          <w:rFonts w:cs="Times New Roman"/>
        </w:rPr>
        <w:t xml:space="preserve">, </w:t>
      </w:r>
      <w:r w:rsidR="0053609C" w:rsidRPr="00E26753">
        <w:rPr>
          <w:rFonts w:cs="Times New Roman"/>
        </w:rPr>
        <w:t>mortality</w:t>
      </w:r>
      <w:r w:rsidR="00235E9D" w:rsidRPr="00E26753">
        <w:rPr>
          <w:rFonts w:cs="Times New Roman"/>
        </w:rPr>
        <w:t xml:space="preserve">, </w:t>
      </w:r>
      <w:r>
        <w:rPr>
          <w:rFonts w:cs="Times New Roman"/>
        </w:rPr>
        <w:t xml:space="preserve">and </w:t>
      </w:r>
      <w:r w:rsidR="00235E9D" w:rsidRPr="00E26753">
        <w:rPr>
          <w:rFonts w:cs="Times New Roman"/>
        </w:rPr>
        <w:t xml:space="preserve">increased </w:t>
      </w:r>
      <w:r w:rsidR="0053609C" w:rsidRPr="00E26753">
        <w:rPr>
          <w:rFonts w:cs="Times New Roman"/>
        </w:rPr>
        <w:t>potential for onward transmission</w:t>
      </w:r>
      <w:r>
        <w:rPr>
          <w:rFonts w:cs="Times New Roman"/>
        </w:rPr>
        <w:t xml:space="preserve">. </w:t>
      </w:r>
      <w:r w:rsidR="0053609C" w:rsidRPr="00E26753">
        <w:rPr>
          <w:rFonts w:cs="Times New Roman"/>
        </w:rPr>
        <w:t>The prevalence of HIV in both the UK and France continues to rise, particularly in ‘non-traditional’ groups</w:t>
      </w:r>
      <w:r>
        <w:rPr>
          <w:rFonts w:cs="Times New Roman"/>
        </w:rPr>
        <w:t xml:space="preserve"> such a heterosexuals and </w:t>
      </w:r>
      <w:r w:rsidR="0053609C" w:rsidRPr="00E26753">
        <w:rPr>
          <w:rFonts w:cs="Times New Roman"/>
        </w:rPr>
        <w:t xml:space="preserve">older </w:t>
      </w:r>
      <w:r>
        <w:rPr>
          <w:rFonts w:cs="Times New Roman"/>
        </w:rPr>
        <w:t xml:space="preserve">people, yet </w:t>
      </w:r>
      <w:r w:rsidR="0053609C" w:rsidRPr="00E26753">
        <w:rPr>
          <w:rFonts w:cs="Times New Roman"/>
        </w:rPr>
        <w:t xml:space="preserve">at least 20% of those infected with HIV do not know their status and are </w:t>
      </w:r>
      <w:r>
        <w:rPr>
          <w:rFonts w:cs="Times New Roman"/>
        </w:rPr>
        <w:t xml:space="preserve">capable of transmitting the virus to </w:t>
      </w:r>
      <w:r w:rsidR="0053609C" w:rsidRPr="00E26753">
        <w:rPr>
          <w:rFonts w:cs="Times New Roman"/>
        </w:rPr>
        <w:t>others</w:t>
      </w:r>
      <w:r w:rsidR="00A96C10">
        <w:rPr>
          <w:rFonts w:cs="Times New Roman"/>
        </w:rPr>
        <w:t xml:space="preserve"> according to </w:t>
      </w:r>
      <w:r w:rsidR="00A25EE8">
        <w:rPr>
          <w:rFonts w:cs="Times New Roman"/>
        </w:rPr>
        <w:t>European Center for Disease Control/</w:t>
      </w:r>
      <w:r w:rsidR="00A96C10">
        <w:rPr>
          <w:rFonts w:cs="Times New Roman"/>
        </w:rPr>
        <w:t>WHO data</w:t>
      </w:r>
      <w:r>
        <w:rPr>
          <w:rFonts w:cs="Times New Roman"/>
        </w:rPr>
        <w:t xml:space="preserve">. </w:t>
      </w:r>
    </w:p>
    <w:p w:rsidR="0053609C" w:rsidRPr="00E26753" w:rsidRDefault="00ED561A" w:rsidP="00E26753">
      <w:pPr>
        <w:autoSpaceDE w:val="0"/>
        <w:autoSpaceDN w:val="0"/>
        <w:adjustRightInd w:val="0"/>
        <w:spacing w:after="0" w:line="360" w:lineRule="auto"/>
        <w:rPr>
          <w:rFonts w:cs="Times New Roman"/>
        </w:rPr>
      </w:pPr>
      <w:r w:rsidRPr="00ED561A">
        <w:rPr>
          <w:rFonts w:cs="Times New Roman"/>
          <w:i/>
        </w:rPr>
        <w:t>Methods:</w:t>
      </w:r>
      <w:r>
        <w:rPr>
          <w:rFonts w:cs="Times New Roman"/>
        </w:rPr>
        <w:t xml:space="preserve"> A five-year </w:t>
      </w:r>
      <w:r w:rsidR="0053609C" w:rsidRPr="00E26753">
        <w:rPr>
          <w:rFonts w:cs="Times New Roman"/>
        </w:rPr>
        <w:t xml:space="preserve">retrospective review of </w:t>
      </w:r>
      <w:r w:rsidR="00067211">
        <w:rPr>
          <w:rFonts w:cs="Times New Roman"/>
        </w:rPr>
        <w:t xml:space="preserve">demographic and </w:t>
      </w:r>
      <w:r w:rsidR="0053609C" w:rsidRPr="00E26753">
        <w:rPr>
          <w:rFonts w:cs="Times New Roman"/>
        </w:rPr>
        <w:t xml:space="preserve">clinical data </w:t>
      </w:r>
      <w:r w:rsidR="00067211">
        <w:rPr>
          <w:rFonts w:cs="Times New Roman"/>
        </w:rPr>
        <w:t xml:space="preserve">was conducted </w:t>
      </w:r>
      <w:r w:rsidR="0053609C" w:rsidRPr="00E26753">
        <w:rPr>
          <w:rFonts w:cs="Times New Roman"/>
        </w:rPr>
        <w:t xml:space="preserve">for every patient diagnosed with HIV </w:t>
      </w:r>
      <w:r w:rsidR="00067211" w:rsidRPr="00E26753">
        <w:rPr>
          <w:rFonts w:cs="Times New Roman"/>
        </w:rPr>
        <w:t>(n=406)</w:t>
      </w:r>
      <w:r w:rsidR="00067211">
        <w:rPr>
          <w:rFonts w:cs="Times New Roman"/>
        </w:rPr>
        <w:t xml:space="preserve"> in </w:t>
      </w:r>
      <w:r>
        <w:rPr>
          <w:rFonts w:cs="Times New Roman"/>
        </w:rPr>
        <w:t xml:space="preserve">two </w:t>
      </w:r>
      <w:r w:rsidR="00067211">
        <w:rPr>
          <w:rFonts w:cs="Times New Roman"/>
        </w:rPr>
        <w:t xml:space="preserve">European </w:t>
      </w:r>
      <w:r>
        <w:rPr>
          <w:rFonts w:cs="Times New Roman"/>
        </w:rPr>
        <w:t>regions, Kent and Medway in the UK, and Amiens and Creil in France</w:t>
      </w:r>
      <w:r w:rsidR="00067211">
        <w:rPr>
          <w:rFonts w:cs="Times New Roman"/>
        </w:rPr>
        <w:t xml:space="preserve"> </w:t>
      </w:r>
      <w:r>
        <w:rPr>
          <w:rFonts w:cs="Times New Roman"/>
        </w:rPr>
        <w:t xml:space="preserve">to </w:t>
      </w:r>
      <w:r w:rsidR="00067211">
        <w:rPr>
          <w:rFonts w:cs="Times New Roman"/>
        </w:rPr>
        <w:t xml:space="preserve">identify common barriers preventing people from seeking an early HIV test. </w:t>
      </w:r>
    </w:p>
    <w:p w:rsidR="00DA7B4D" w:rsidRDefault="0053609C" w:rsidP="00451465">
      <w:pPr>
        <w:spacing w:after="0" w:line="480" w:lineRule="auto"/>
        <w:rPr>
          <w:rFonts w:cs="Times New Roman"/>
        </w:rPr>
      </w:pPr>
      <w:r w:rsidRPr="00ED561A">
        <w:rPr>
          <w:rFonts w:cs="Times New Roman"/>
          <w:i/>
        </w:rPr>
        <w:t>Results</w:t>
      </w:r>
      <w:r w:rsidR="00ED561A" w:rsidRPr="00ED561A">
        <w:rPr>
          <w:rFonts w:cs="Times New Roman"/>
          <w:i/>
        </w:rPr>
        <w:t>:</w:t>
      </w:r>
      <w:r w:rsidR="00ED561A">
        <w:rPr>
          <w:rFonts w:cs="Times New Roman"/>
          <w:b/>
          <w:i/>
        </w:rPr>
        <w:t xml:space="preserve"> </w:t>
      </w:r>
      <w:r w:rsidR="00DA7B4D">
        <w:rPr>
          <w:rFonts w:cs="Times New Roman"/>
        </w:rPr>
        <w:t xml:space="preserve">Findings showed similarities between the two countries in relation to those most likely to present late. </w:t>
      </w:r>
      <w:r w:rsidR="00D531D0">
        <w:rPr>
          <w:rFonts w:cs="Times New Roman"/>
        </w:rPr>
        <w:t xml:space="preserve">Heterosexuals </w:t>
      </w:r>
      <w:r w:rsidR="00DA7B4D">
        <w:rPr>
          <w:rFonts w:cs="Times New Roman"/>
        </w:rPr>
        <w:t>formed the largest group of patients</w:t>
      </w:r>
      <w:r w:rsidR="00D531D0">
        <w:rPr>
          <w:rFonts w:cs="Times New Roman"/>
        </w:rPr>
        <w:t xml:space="preserve"> and were more likely to present late</w:t>
      </w:r>
      <w:r w:rsidR="00DA7B4D">
        <w:rPr>
          <w:rFonts w:cs="Times New Roman"/>
        </w:rPr>
        <w:t xml:space="preserve">, </w:t>
      </w:r>
      <w:r w:rsidR="00D531D0">
        <w:rPr>
          <w:rFonts w:cs="Times New Roman"/>
        </w:rPr>
        <w:t xml:space="preserve">as were migrants or </w:t>
      </w:r>
      <w:r w:rsidR="00A96C10">
        <w:rPr>
          <w:rFonts w:cs="Times New Roman"/>
        </w:rPr>
        <w:t xml:space="preserve">other minority ethnic community members. Gay and bisexual men </w:t>
      </w:r>
      <w:r w:rsidR="00DA7B4D">
        <w:rPr>
          <w:rFonts w:cs="Times New Roman"/>
        </w:rPr>
        <w:t xml:space="preserve">were likely to seek </w:t>
      </w:r>
      <w:r w:rsidR="00D531D0">
        <w:rPr>
          <w:rFonts w:cs="Times New Roman"/>
        </w:rPr>
        <w:t xml:space="preserve">testing </w:t>
      </w:r>
      <w:r w:rsidR="00DA7B4D">
        <w:rPr>
          <w:rFonts w:cs="Times New Roman"/>
        </w:rPr>
        <w:t xml:space="preserve">more frequently and </w:t>
      </w:r>
      <w:r w:rsidR="00D531D0">
        <w:rPr>
          <w:rFonts w:cs="Times New Roman"/>
        </w:rPr>
        <w:t xml:space="preserve">had higher rates of early </w:t>
      </w:r>
      <w:r w:rsidR="00DA7B4D">
        <w:rPr>
          <w:rFonts w:cs="Times New Roman"/>
        </w:rPr>
        <w:t>diagnos</w:t>
      </w:r>
      <w:r w:rsidR="00D531D0">
        <w:rPr>
          <w:rFonts w:cs="Times New Roman"/>
        </w:rPr>
        <w:t xml:space="preserve">is than other groups. The two French regions </w:t>
      </w:r>
      <w:r w:rsidR="00DA7B4D">
        <w:rPr>
          <w:rFonts w:cs="Times New Roman"/>
        </w:rPr>
        <w:t>performed better than</w:t>
      </w:r>
      <w:r w:rsidR="00D531D0">
        <w:rPr>
          <w:rFonts w:cs="Times New Roman"/>
        </w:rPr>
        <w:t xml:space="preserve"> the </w:t>
      </w:r>
      <w:r w:rsidR="00DA7B4D">
        <w:rPr>
          <w:rFonts w:cs="Times New Roman"/>
        </w:rPr>
        <w:t xml:space="preserve">UK in respect of early diagnosis in all groups, though still not matching </w:t>
      </w:r>
      <w:r w:rsidR="00D531D0">
        <w:rPr>
          <w:rFonts w:cs="Times New Roman"/>
        </w:rPr>
        <w:t xml:space="preserve">the </w:t>
      </w:r>
      <w:r w:rsidR="00DA7B4D">
        <w:rPr>
          <w:rFonts w:cs="Times New Roman"/>
        </w:rPr>
        <w:t xml:space="preserve">performance of other French regions. </w:t>
      </w:r>
    </w:p>
    <w:p w:rsidR="00235E9D" w:rsidRPr="00E26753" w:rsidRDefault="0053609C" w:rsidP="00CE0845">
      <w:pPr>
        <w:spacing w:line="480" w:lineRule="auto"/>
        <w:rPr>
          <w:rFonts w:cs="Times New Roman"/>
          <w:b/>
        </w:rPr>
      </w:pPr>
      <w:r w:rsidRPr="00ED561A">
        <w:rPr>
          <w:rFonts w:cs="Times New Roman"/>
          <w:i/>
        </w:rPr>
        <w:t>Conclusion</w:t>
      </w:r>
      <w:r w:rsidR="00ED561A" w:rsidRPr="00ED561A">
        <w:rPr>
          <w:rFonts w:cs="Times New Roman"/>
          <w:i/>
        </w:rPr>
        <w:t>s:</w:t>
      </w:r>
      <w:r w:rsidR="00ED561A" w:rsidRPr="00451465">
        <w:rPr>
          <w:rFonts w:cs="Times New Roman"/>
          <w:i/>
        </w:rPr>
        <w:t xml:space="preserve"> </w:t>
      </w:r>
      <w:r w:rsidR="00CE0845">
        <w:rPr>
          <w:rFonts w:cs="Times New Roman"/>
        </w:rPr>
        <w:t>In spite of recent improvements in HIV treatment, it is necessary to educate more white and</w:t>
      </w:r>
      <w:r w:rsidR="00A96C10">
        <w:rPr>
          <w:rFonts w:cs="Times New Roman"/>
        </w:rPr>
        <w:t xml:space="preserve"> minority ethnic h</w:t>
      </w:r>
      <w:r w:rsidR="00CE0845">
        <w:rPr>
          <w:rFonts w:cs="Times New Roman"/>
        </w:rPr>
        <w:t xml:space="preserve">eterosexuals about the benefits of early HIV testing so that the number of late diagnoses and complications associated with these can be reduced.  The study suggests that there is </w:t>
      </w:r>
      <w:r w:rsidR="00A96C10">
        <w:rPr>
          <w:rFonts w:cs="Times New Roman"/>
        </w:rPr>
        <w:t xml:space="preserve">a need </w:t>
      </w:r>
      <w:r w:rsidR="00CE0845">
        <w:rPr>
          <w:rFonts w:cs="Times New Roman"/>
        </w:rPr>
        <w:t xml:space="preserve">to develop specific health promotion and education interventions targeted at these groups, as well as healthcare professionals who continue to attribute </w:t>
      </w:r>
      <w:r w:rsidR="00A25EE8">
        <w:rPr>
          <w:rFonts w:cs="Times New Roman"/>
        </w:rPr>
        <w:t xml:space="preserve">signs and </w:t>
      </w:r>
      <w:r w:rsidR="00A96C10">
        <w:rPr>
          <w:rFonts w:cs="Times New Roman"/>
        </w:rPr>
        <w:t xml:space="preserve">symptoms of </w:t>
      </w:r>
      <w:r w:rsidR="00A25EE8">
        <w:rPr>
          <w:rFonts w:cs="Times New Roman"/>
        </w:rPr>
        <w:t xml:space="preserve">HIV </w:t>
      </w:r>
      <w:r w:rsidR="00A96C10">
        <w:rPr>
          <w:rFonts w:cs="Times New Roman"/>
        </w:rPr>
        <w:t>infection to non-</w:t>
      </w:r>
      <w:r w:rsidR="00CE0845">
        <w:rPr>
          <w:rFonts w:cs="Times New Roman"/>
        </w:rPr>
        <w:t xml:space="preserve">HIV causes.  </w:t>
      </w:r>
      <w:r w:rsidR="00E14C1F" w:rsidRPr="00E26753">
        <w:rPr>
          <w:rFonts w:cs="Times New Roman"/>
        </w:rPr>
        <w:br/>
      </w:r>
      <w:r w:rsidR="002A6283" w:rsidRPr="00E26753">
        <w:rPr>
          <w:rFonts w:cs="Times New Roman"/>
          <w:b/>
        </w:rPr>
        <w:t>Keywords</w:t>
      </w:r>
      <w:r w:rsidR="00402BF7" w:rsidRPr="00E26753">
        <w:rPr>
          <w:rFonts w:cs="Times New Roman"/>
          <w:b/>
        </w:rPr>
        <w:br/>
      </w:r>
      <w:r w:rsidR="00402BF7" w:rsidRPr="00E26753">
        <w:rPr>
          <w:rFonts w:cs="Times New Roman"/>
        </w:rPr>
        <w:t xml:space="preserve">HIV testing, late presentation, </w:t>
      </w:r>
      <w:r w:rsidR="00DF0BF9" w:rsidRPr="00E26753">
        <w:rPr>
          <w:rFonts w:cs="Times New Roman"/>
        </w:rPr>
        <w:t xml:space="preserve">late </w:t>
      </w:r>
      <w:r w:rsidR="00402BF7" w:rsidRPr="00E26753">
        <w:rPr>
          <w:rFonts w:cs="Times New Roman"/>
        </w:rPr>
        <w:t>diagnosis, health education</w:t>
      </w:r>
      <w:r w:rsidR="00DF0BF9" w:rsidRPr="00E26753">
        <w:rPr>
          <w:rFonts w:cs="Times New Roman"/>
        </w:rPr>
        <w:t xml:space="preserve">, public health. </w:t>
      </w:r>
      <w:r w:rsidR="00402BF7" w:rsidRPr="00E26753">
        <w:rPr>
          <w:rFonts w:cs="Times New Roman"/>
        </w:rPr>
        <w:br/>
      </w:r>
    </w:p>
    <w:p w:rsidR="00391725" w:rsidRDefault="00391725">
      <w:pPr>
        <w:rPr>
          <w:rFonts w:cs="Times New Roman"/>
          <w:b/>
        </w:rPr>
      </w:pPr>
      <w:r>
        <w:rPr>
          <w:rFonts w:cs="Times New Roman"/>
          <w:b/>
        </w:rPr>
        <w:br w:type="page"/>
      </w:r>
    </w:p>
    <w:p w:rsidR="00A965FA" w:rsidRDefault="00A965FA">
      <w:pPr>
        <w:rPr>
          <w:rFonts w:cs="Times New Roman"/>
          <w:b/>
        </w:rPr>
      </w:pPr>
      <w:r>
        <w:rPr>
          <w:rFonts w:cs="Times New Roman"/>
          <w:b/>
        </w:rPr>
        <w:lastRenderedPageBreak/>
        <w:t>Authors:</w:t>
      </w:r>
    </w:p>
    <w:p w:rsidR="00B70D40" w:rsidRDefault="00B70D40">
      <w:pPr>
        <w:rPr>
          <w:rFonts w:cs="Times New Roman"/>
        </w:rPr>
      </w:pPr>
      <w:r>
        <w:rPr>
          <w:rFonts w:cs="Times New Roman"/>
        </w:rPr>
        <w:t>Stephen J. O’Connor,</w:t>
      </w:r>
      <w:r w:rsidR="00CC70C3">
        <w:rPr>
          <w:rFonts w:cs="Times New Roman"/>
        </w:rPr>
        <w:t xml:space="preserve"> </w:t>
      </w:r>
      <w:r w:rsidR="002B107A">
        <w:rPr>
          <w:rFonts w:cs="Times New Roman"/>
        </w:rPr>
        <w:t xml:space="preserve">                                                                                                                                              </w:t>
      </w:r>
      <w:r w:rsidR="00101AE7">
        <w:rPr>
          <w:rFonts w:cs="Times New Roman"/>
        </w:rPr>
        <w:t xml:space="preserve">School of Nursing and </w:t>
      </w:r>
      <w:r w:rsidR="00CC70C3">
        <w:rPr>
          <w:rFonts w:cs="Times New Roman"/>
        </w:rPr>
        <w:t xml:space="preserve">England Centre for Practice Development, </w:t>
      </w:r>
      <w:r w:rsidR="002B107A">
        <w:rPr>
          <w:rFonts w:cs="Times New Roman"/>
        </w:rPr>
        <w:t xml:space="preserve">                                                                                               </w:t>
      </w:r>
      <w:r w:rsidR="00CC70C3">
        <w:rPr>
          <w:rFonts w:cs="Times New Roman"/>
        </w:rPr>
        <w:t>Canterbury Christ Church University</w:t>
      </w:r>
      <w:r w:rsidR="002B107A">
        <w:rPr>
          <w:rFonts w:cs="Times New Roman"/>
        </w:rPr>
        <w:t>, UK</w:t>
      </w:r>
      <w:r w:rsidR="00CC70C3">
        <w:rPr>
          <w:rFonts w:cs="Times New Roman"/>
        </w:rPr>
        <w:t xml:space="preserve">. </w:t>
      </w:r>
      <w:r w:rsidR="002B107A">
        <w:rPr>
          <w:rFonts w:cs="Times New Roman"/>
        </w:rPr>
        <w:t xml:space="preserve">                                                           stephen.oconnor@canterbury.ac.uk</w:t>
      </w:r>
    </w:p>
    <w:p w:rsidR="00B70D40" w:rsidRPr="00101AE7" w:rsidRDefault="00B70D40">
      <w:pPr>
        <w:rPr>
          <w:rFonts w:cs="Times New Roman"/>
          <w:lang w:val="fr-FR"/>
        </w:rPr>
      </w:pPr>
      <w:r>
        <w:rPr>
          <w:rFonts w:cs="Times New Roman"/>
        </w:rPr>
        <w:t>Sharon Manship,</w:t>
      </w:r>
      <w:r w:rsidR="002B107A">
        <w:rPr>
          <w:rFonts w:cs="Times New Roman"/>
        </w:rPr>
        <w:t xml:space="preserve">                                                                                                                                                      School of Public Health, Midwifery and Social Work,                                                                             Canterbury Christ Church University, UK.</w:t>
      </w:r>
      <w:r>
        <w:rPr>
          <w:rFonts w:cs="Times New Roman"/>
        </w:rPr>
        <w:t xml:space="preserve"> </w:t>
      </w:r>
      <w:r w:rsidR="002B107A">
        <w:rPr>
          <w:rFonts w:cs="Times New Roman"/>
        </w:rPr>
        <w:t xml:space="preserve"> </w:t>
      </w:r>
      <w:r w:rsidR="002B107A" w:rsidRPr="00101AE7">
        <w:rPr>
          <w:rFonts w:cs="Times New Roman"/>
          <w:lang w:val="fr-FR"/>
        </w:rPr>
        <w:t>sharon.manship@canterbury.ac.uk</w:t>
      </w:r>
    </w:p>
    <w:p w:rsidR="002B107A" w:rsidRPr="00101AE7" w:rsidRDefault="00B70D40">
      <w:pPr>
        <w:rPr>
          <w:rFonts w:cs="Times New Roman"/>
          <w:lang w:val="fr-FR"/>
        </w:rPr>
      </w:pPr>
      <w:r w:rsidRPr="00101AE7">
        <w:rPr>
          <w:rFonts w:cs="Times New Roman"/>
          <w:lang w:val="fr-FR"/>
        </w:rPr>
        <w:t>Momar Diouf</w:t>
      </w:r>
      <w:r w:rsidR="002B107A" w:rsidRPr="00101AE7">
        <w:rPr>
          <w:rFonts w:cs="Times New Roman"/>
          <w:lang w:val="fr-FR"/>
        </w:rPr>
        <w:t xml:space="preserve">,                                                                                                                                                         </w:t>
      </w:r>
      <w:r w:rsidR="00101AE7">
        <w:rPr>
          <w:rFonts w:cs="Times New Roman"/>
          <w:lang w:val="fr-FR"/>
        </w:rPr>
        <w:t xml:space="preserve">Clinical Research and Information Directorate,                                                                                                </w:t>
      </w:r>
      <w:r w:rsidR="002B107A" w:rsidRPr="00101AE7">
        <w:rPr>
          <w:rFonts w:cs="Times New Roman"/>
          <w:lang w:val="fr-FR"/>
        </w:rPr>
        <w:t xml:space="preserve">Centre Hospitalier Universitaire d'Amiens, France.                                                                         </w:t>
      </w:r>
      <w:hyperlink r:id="rId8" w:history="1">
        <w:r w:rsidR="002B107A" w:rsidRPr="00101AE7">
          <w:rPr>
            <w:rStyle w:val="Hyperlink"/>
            <w:rFonts w:ascii="Calibri" w:hAnsi="Calibri"/>
            <w:color w:val="auto"/>
            <w:u w:val="none"/>
            <w:lang w:val="fr-FR"/>
          </w:rPr>
          <w:t>diouf.momar@chu-amiens.fr</w:t>
        </w:r>
      </w:hyperlink>
    </w:p>
    <w:p w:rsidR="002B107A" w:rsidRPr="00101AE7" w:rsidRDefault="00101AE7" w:rsidP="002B107A">
      <w:pPr>
        <w:rPr>
          <w:rFonts w:cs="Times New Roman"/>
          <w:lang w:val="en-US"/>
        </w:rPr>
      </w:pPr>
      <w:r>
        <w:rPr>
          <w:rFonts w:cs="Times New Roman"/>
          <w:lang w:val="en-US"/>
        </w:rPr>
        <w:t>Jean-Luc Schmit,</w:t>
      </w:r>
      <w:r w:rsidR="00F353D3" w:rsidRPr="00101AE7">
        <w:rPr>
          <w:rFonts w:cs="Times New Roman"/>
          <w:lang w:val="en-US"/>
        </w:rPr>
        <w:t xml:space="preserve"> </w:t>
      </w:r>
      <w:r>
        <w:rPr>
          <w:rFonts w:cs="Times New Roman"/>
          <w:lang w:val="en-US"/>
        </w:rPr>
        <w:t xml:space="preserve">                                                                                                                                                </w:t>
      </w:r>
      <w:r w:rsidRPr="00101AE7">
        <w:rPr>
          <w:rFonts w:cs="Times New Roman"/>
          <w:lang w:val="en-US"/>
        </w:rPr>
        <w:t>Department of In</w:t>
      </w:r>
      <w:r>
        <w:rPr>
          <w:rFonts w:cs="Times New Roman"/>
          <w:lang w:val="en-US"/>
        </w:rPr>
        <w:t xml:space="preserve">fectious and Tropical Diseases,                                                                                      </w:t>
      </w:r>
      <w:r w:rsidR="002B107A" w:rsidRPr="00101AE7">
        <w:rPr>
          <w:rFonts w:cs="Times New Roman"/>
          <w:lang w:val="fr-FR"/>
        </w:rPr>
        <w:t xml:space="preserve">Centre Hospitalier Universitaire d'Amiens, France.    </w:t>
      </w:r>
      <w:r w:rsidR="00F353D3" w:rsidRPr="00101AE7">
        <w:rPr>
          <w:rFonts w:cs="Times New Roman"/>
          <w:lang w:val="fr-FR"/>
        </w:rPr>
        <w:t xml:space="preserve">                                                                            </w:t>
      </w:r>
      <w:hyperlink r:id="rId9" w:history="1">
        <w:r w:rsidR="00F353D3" w:rsidRPr="00F353D3">
          <w:rPr>
            <w:rStyle w:val="Hyperlink"/>
            <w:rFonts w:cs="Times New Roman"/>
            <w:color w:val="auto"/>
            <w:u w:val="none"/>
          </w:rPr>
          <w:t>schmit.jean-luc@chu-amiens.fr</w:t>
        </w:r>
      </w:hyperlink>
      <w:r w:rsidR="00F353D3">
        <w:rPr>
          <w:rFonts w:cs="Times New Roman"/>
        </w:rPr>
        <w:t xml:space="preserve"> </w:t>
      </w:r>
      <w:r w:rsidR="002B107A">
        <w:rPr>
          <w:rFonts w:cs="Times New Roman"/>
        </w:rPr>
        <w:t xml:space="preserve">                                                                           </w:t>
      </w:r>
    </w:p>
    <w:p w:rsidR="00000892" w:rsidRDefault="00F353D3">
      <w:pPr>
        <w:rPr>
          <w:rFonts w:cs="Times New Roman"/>
        </w:rPr>
      </w:pPr>
      <w:r>
        <w:rPr>
          <w:rFonts w:cs="Times New Roman"/>
        </w:rPr>
        <w:t xml:space="preserve">Stephen Clift,                                                                                                                                                              </w:t>
      </w:r>
      <w:r w:rsidRPr="00F353D3">
        <w:rPr>
          <w:rFonts w:cs="Times New Roman"/>
        </w:rPr>
        <w:t>Sidney De Haan Centre</w:t>
      </w:r>
      <w:r>
        <w:rPr>
          <w:rFonts w:cs="Times New Roman"/>
        </w:rPr>
        <w:t>,                                                                                                                                Canterbury Christ Church University, UK.</w:t>
      </w:r>
      <w:r w:rsidRPr="00F353D3">
        <w:rPr>
          <w:rFonts w:cs="Times New Roman"/>
        </w:rPr>
        <w:t xml:space="preserve"> </w:t>
      </w:r>
      <w:r>
        <w:rPr>
          <w:rFonts w:cs="Times New Roman"/>
        </w:rPr>
        <w:t xml:space="preserve">                                                                      </w:t>
      </w:r>
      <w:r w:rsidR="00CC29C8" w:rsidRPr="00312843">
        <w:rPr>
          <w:rFonts w:cs="Times New Roman"/>
        </w:rPr>
        <w:t>stephen.clift@canterbury.ac.uk</w:t>
      </w:r>
      <w:r w:rsidRPr="00F353D3">
        <w:rPr>
          <w:rFonts w:cs="Times New Roman"/>
        </w:rPr>
        <w:t xml:space="preserve"> </w:t>
      </w:r>
    </w:p>
    <w:p w:rsidR="00CC29C8" w:rsidRDefault="00CC29C8">
      <w:pPr>
        <w:rPr>
          <w:rFonts w:cs="Times New Roman"/>
        </w:rPr>
      </w:pPr>
    </w:p>
    <w:p w:rsidR="00000892" w:rsidRPr="00CE0845" w:rsidRDefault="00000892" w:rsidP="00000892">
      <w:pPr>
        <w:spacing w:after="0" w:line="480" w:lineRule="auto"/>
        <w:rPr>
          <w:rFonts w:cs="Times New Roman"/>
        </w:rPr>
      </w:pPr>
      <w:r w:rsidRPr="00E26753">
        <w:rPr>
          <w:rFonts w:cs="Times New Roman"/>
          <w:b/>
        </w:rPr>
        <w:t xml:space="preserve">Key </w:t>
      </w:r>
      <w:r>
        <w:rPr>
          <w:rFonts w:cs="Times New Roman"/>
          <w:b/>
        </w:rPr>
        <w:t>messages:</w:t>
      </w:r>
    </w:p>
    <w:p w:rsidR="00000892" w:rsidRPr="00E26753" w:rsidRDefault="00000892" w:rsidP="00000892">
      <w:pPr>
        <w:pStyle w:val="ListParagraph"/>
        <w:numPr>
          <w:ilvl w:val="0"/>
          <w:numId w:val="3"/>
        </w:numPr>
        <w:autoSpaceDE w:val="0"/>
        <w:autoSpaceDN w:val="0"/>
        <w:adjustRightInd w:val="0"/>
        <w:spacing w:after="0" w:line="480" w:lineRule="auto"/>
        <w:rPr>
          <w:rFonts w:cs="Times New Roman"/>
        </w:rPr>
      </w:pPr>
      <w:r w:rsidRPr="00E26753">
        <w:rPr>
          <w:rFonts w:cs="Times New Roman"/>
        </w:rPr>
        <w:t xml:space="preserve">There is a need to raise awareness about </w:t>
      </w:r>
      <w:r>
        <w:rPr>
          <w:rFonts w:cs="Times New Roman"/>
        </w:rPr>
        <w:t xml:space="preserve">the benefits of early </w:t>
      </w:r>
      <w:r w:rsidRPr="00E26753">
        <w:rPr>
          <w:rFonts w:cs="Times New Roman"/>
        </w:rPr>
        <w:t>HIV testing in both the UK and France</w:t>
      </w:r>
      <w:r>
        <w:rPr>
          <w:rFonts w:cs="Times New Roman"/>
        </w:rPr>
        <w:t>, especially amongst older white heterosexuals, black and minority ethnic groups, and young adults.</w:t>
      </w:r>
    </w:p>
    <w:p w:rsidR="00000892" w:rsidRPr="00E26753" w:rsidRDefault="00000892" w:rsidP="00000892">
      <w:pPr>
        <w:pStyle w:val="ListParagraph"/>
        <w:numPr>
          <w:ilvl w:val="0"/>
          <w:numId w:val="3"/>
        </w:numPr>
        <w:autoSpaceDE w:val="0"/>
        <w:autoSpaceDN w:val="0"/>
        <w:adjustRightInd w:val="0"/>
        <w:spacing w:after="0" w:line="480" w:lineRule="auto"/>
        <w:rPr>
          <w:rFonts w:cs="Times New Roman"/>
          <w:b/>
        </w:rPr>
      </w:pPr>
      <w:r w:rsidRPr="00E26753">
        <w:rPr>
          <w:rFonts w:cs="Times New Roman"/>
        </w:rPr>
        <w:t xml:space="preserve">Continued public health and health promotion </w:t>
      </w:r>
      <w:r>
        <w:rPr>
          <w:rFonts w:cs="Times New Roman"/>
        </w:rPr>
        <w:t xml:space="preserve">campaigns are </w:t>
      </w:r>
      <w:r w:rsidRPr="00E26753">
        <w:rPr>
          <w:rFonts w:cs="Times New Roman"/>
        </w:rPr>
        <w:t>vital to improve the uptake and timeliness of HIV testing</w:t>
      </w:r>
      <w:r>
        <w:rPr>
          <w:rFonts w:cs="Times New Roman"/>
        </w:rPr>
        <w:t>.</w:t>
      </w:r>
      <w:r w:rsidRPr="00E26753">
        <w:rPr>
          <w:rFonts w:cs="Times New Roman"/>
        </w:rPr>
        <w:t xml:space="preserve"> </w:t>
      </w:r>
    </w:p>
    <w:p w:rsidR="00000892" w:rsidRPr="00E26753" w:rsidRDefault="00000892" w:rsidP="00000892">
      <w:pPr>
        <w:pStyle w:val="ListParagraph"/>
        <w:numPr>
          <w:ilvl w:val="0"/>
          <w:numId w:val="3"/>
        </w:numPr>
        <w:autoSpaceDE w:val="0"/>
        <w:autoSpaceDN w:val="0"/>
        <w:adjustRightInd w:val="0"/>
        <w:spacing w:after="0" w:line="480" w:lineRule="auto"/>
        <w:rPr>
          <w:rFonts w:cs="Times New Roman"/>
        </w:rPr>
      </w:pPr>
      <w:r w:rsidRPr="00E26753">
        <w:rPr>
          <w:rFonts w:cs="Times New Roman"/>
        </w:rPr>
        <w:t>Longitudinal evaluations of public health awareness campaigns will add value in assessing impact and eliciting the resulting practice and behaviour of the public and healthcare professionals</w:t>
      </w:r>
      <w:r>
        <w:rPr>
          <w:rFonts w:cs="Times New Roman"/>
        </w:rPr>
        <w:t>.</w:t>
      </w:r>
    </w:p>
    <w:p w:rsidR="00A965FA" w:rsidRPr="002871C1" w:rsidRDefault="00A965FA">
      <w:pPr>
        <w:rPr>
          <w:rFonts w:cs="Times New Roman"/>
        </w:rPr>
      </w:pPr>
      <w:r w:rsidRPr="002871C1">
        <w:rPr>
          <w:rFonts w:cs="Times New Roman"/>
        </w:rPr>
        <w:br w:type="page"/>
      </w:r>
    </w:p>
    <w:p w:rsidR="00F75713" w:rsidRDefault="002A6283" w:rsidP="00423CF0">
      <w:pPr>
        <w:autoSpaceDE w:val="0"/>
        <w:autoSpaceDN w:val="0"/>
        <w:adjustRightInd w:val="0"/>
        <w:spacing w:after="0" w:line="480" w:lineRule="auto"/>
        <w:rPr>
          <w:rFonts w:cs="Times New Roman"/>
          <w:b/>
        </w:rPr>
      </w:pPr>
      <w:r w:rsidRPr="00E26753">
        <w:rPr>
          <w:rFonts w:cs="Times New Roman"/>
          <w:b/>
        </w:rPr>
        <w:lastRenderedPageBreak/>
        <w:t>Introduction</w:t>
      </w:r>
    </w:p>
    <w:p w:rsidR="00A17AE9" w:rsidRDefault="00FC26ED" w:rsidP="00423CF0">
      <w:pPr>
        <w:autoSpaceDE w:val="0"/>
        <w:autoSpaceDN w:val="0"/>
        <w:adjustRightInd w:val="0"/>
        <w:spacing w:after="0" w:line="480" w:lineRule="auto"/>
        <w:rPr>
          <w:rFonts w:cs="Times New Roman"/>
        </w:rPr>
      </w:pPr>
      <w:r w:rsidRPr="00E26753">
        <w:rPr>
          <w:rFonts w:cs="Times New Roman"/>
        </w:rPr>
        <w:t xml:space="preserve">This paper </w:t>
      </w:r>
      <w:r w:rsidR="00864B0D">
        <w:rPr>
          <w:rFonts w:cs="Times New Roman"/>
        </w:rPr>
        <w:t xml:space="preserve">provides an overview of the aims, conduct, and findings of </w:t>
      </w:r>
      <w:r w:rsidR="0065500A">
        <w:rPr>
          <w:rFonts w:cs="Times New Roman"/>
        </w:rPr>
        <w:t>a</w:t>
      </w:r>
      <w:r w:rsidR="0065500A" w:rsidRPr="0065500A">
        <w:rPr>
          <w:rFonts w:cs="Times New Roman"/>
        </w:rPr>
        <w:t xml:space="preserve"> five-year retrospective </w:t>
      </w:r>
      <w:r w:rsidR="00A96C10">
        <w:rPr>
          <w:rFonts w:cs="Times New Roman"/>
        </w:rPr>
        <w:t xml:space="preserve">review of patient </w:t>
      </w:r>
      <w:r w:rsidR="00A25EE8">
        <w:rPr>
          <w:rFonts w:cs="Times New Roman"/>
        </w:rPr>
        <w:t xml:space="preserve">records </w:t>
      </w:r>
      <w:r w:rsidR="0065500A">
        <w:rPr>
          <w:rFonts w:cs="Times New Roman"/>
        </w:rPr>
        <w:t xml:space="preserve">to identify and compare clinical and demographic data on </w:t>
      </w:r>
      <w:r w:rsidR="0065500A" w:rsidRPr="00E26753">
        <w:rPr>
          <w:rFonts w:cs="Times New Roman"/>
        </w:rPr>
        <w:t>every patient diagnosed with HIV (n=406)</w:t>
      </w:r>
      <w:r w:rsidR="0065500A">
        <w:rPr>
          <w:rFonts w:cs="Times New Roman"/>
        </w:rPr>
        <w:t xml:space="preserve"> in Kent and Medway in the UK, and Amiens and Creil in France. The </w:t>
      </w:r>
      <w:r w:rsidR="00E204D8">
        <w:rPr>
          <w:rFonts w:cs="Times New Roman"/>
        </w:rPr>
        <w:t xml:space="preserve">review </w:t>
      </w:r>
      <w:r w:rsidR="0065500A">
        <w:rPr>
          <w:rFonts w:cs="Times New Roman"/>
        </w:rPr>
        <w:t xml:space="preserve">was conducted as phase 1 of an </w:t>
      </w:r>
      <w:r w:rsidR="00864B0D">
        <w:rPr>
          <w:rFonts w:cs="Times New Roman"/>
        </w:rPr>
        <w:t xml:space="preserve">international mixed-methods study designed to </w:t>
      </w:r>
      <w:r w:rsidR="0065500A">
        <w:rPr>
          <w:rFonts w:cs="Times New Roman"/>
        </w:rPr>
        <w:t>identify barriers to the early diagnosis of HIV (</w:t>
      </w:r>
      <w:r w:rsidR="0065500A">
        <w:rPr>
          <w:rFonts w:ascii="Arial" w:eastAsia="Times New Roman" w:hAnsi="Arial" w:cs="Arial"/>
          <w:sz w:val="20"/>
          <w:szCs w:val="20"/>
        </w:rPr>
        <w:t xml:space="preserve">defined as </w:t>
      </w:r>
      <w:r w:rsidR="0065500A" w:rsidRPr="00E26753">
        <w:rPr>
          <w:rFonts w:cs="Times New Roman"/>
        </w:rPr>
        <w:t xml:space="preserve">having a CD4 count </w:t>
      </w:r>
      <w:r w:rsidR="0065500A" w:rsidRPr="00D50122">
        <w:rPr>
          <w:rFonts w:cs="Times New Roman"/>
        </w:rPr>
        <w:t>≤350</w:t>
      </w:r>
      <w:r w:rsidR="0065500A">
        <w:rPr>
          <w:rFonts w:cs="Times New Roman"/>
        </w:rPr>
        <w:t xml:space="preserve"> </w:t>
      </w:r>
      <w:r w:rsidR="0065500A" w:rsidRPr="00E26753">
        <w:rPr>
          <w:rFonts w:cs="Times New Roman"/>
        </w:rPr>
        <w:t>cells/</w:t>
      </w:r>
      <w:r w:rsidR="0065500A" w:rsidRPr="00E26753">
        <w:rPr>
          <w:rFonts w:eastAsia="FreeSerif" w:cs="Times New Roman"/>
        </w:rPr>
        <w:t>mm³</w:t>
      </w:r>
      <w:r w:rsidR="00E204D8">
        <w:rPr>
          <w:rFonts w:eastAsia="FreeSerif" w:cs="Times New Roman"/>
        </w:rPr>
        <w:t xml:space="preserve"> </w:t>
      </w:r>
      <w:r w:rsidR="00E204D8" w:rsidRPr="00E204D8">
        <w:rPr>
          <w:rFonts w:eastAsia="FreeSerif" w:cs="Times New Roman"/>
        </w:rPr>
        <w:t>within three months of diagnosis</w:t>
      </w:r>
      <w:r w:rsidR="0065500A" w:rsidRPr="00E26753">
        <w:rPr>
          <w:rFonts w:cs="Times New Roman"/>
        </w:rPr>
        <w:t>)</w:t>
      </w:r>
      <w:r w:rsidR="00E204D8">
        <w:rPr>
          <w:rFonts w:cs="Times New Roman"/>
        </w:rPr>
        <w:t>,</w:t>
      </w:r>
      <w:r w:rsidR="00CC005B">
        <w:rPr>
          <w:rFonts w:cs="Times New Roman"/>
        </w:rPr>
        <w:t xml:space="preserve"> </w:t>
      </w:r>
      <w:r w:rsidR="00E204D8">
        <w:rPr>
          <w:rFonts w:cs="Times New Roman"/>
        </w:rPr>
        <w:t>identify interventions to increase testing</w:t>
      </w:r>
      <w:r w:rsidR="00CC005B">
        <w:rPr>
          <w:rFonts w:cs="Times New Roman"/>
        </w:rPr>
        <w:t>,</w:t>
      </w:r>
      <w:r w:rsidR="00E204D8">
        <w:rPr>
          <w:rFonts w:cs="Times New Roman"/>
        </w:rPr>
        <w:t xml:space="preserve"> and </w:t>
      </w:r>
      <w:r w:rsidR="00864B0D">
        <w:rPr>
          <w:rFonts w:cs="Times New Roman"/>
        </w:rPr>
        <w:t>reduce the number of l</w:t>
      </w:r>
      <w:r w:rsidR="00864B0D" w:rsidRPr="00E26753">
        <w:rPr>
          <w:rFonts w:cs="Times New Roman"/>
        </w:rPr>
        <w:t xml:space="preserve">ate </w:t>
      </w:r>
      <w:r w:rsidR="00864B0D">
        <w:rPr>
          <w:rFonts w:cs="Times New Roman"/>
        </w:rPr>
        <w:t xml:space="preserve">HIV </w:t>
      </w:r>
      <w:r w:rsidR="00864B0D" w:rsidRPr="00E26753">
        <w:rPr>
          <w:rFonts w:cs="Times New Roman"/>
        </w:rPr>
        <w:t>diagnos</w:t>
      </w:r>
      <w:r w:rsidR="00864B0D">
        <w:rPr>
          <w:rFonts w:cs="Times New Roman"/>
        </w:rPr>
        <w:t>es</w:t>
      </w:r>
      <w:r w:rsidR="00A17AE9">
        <w:rPr>
          <w:rFonts w:cs="Times New Roman"/>
        </w:rPr>
        <w:t xml:space="preserve"> in both regions. </w:t>
      </w:r>
      <w:r w:rsidR="00754A65">
        <w:rPr>
          <w:rFonts w:cs="Times New Roman"/>
        </w:rPr>
        <w:t xml:space="preserve">The study was funded by the </w:t>
      </w:r>
      <w:r w:rsidR="00754A65" w:rsidRPr="00E26753">
        <w:rPr>
          <w:rFonts w:cs="Times New Roman"/>
        </w:rPr>
        <w:t>INTERREG IVA</w:t>
      </w:r>
      <w:r w:rsidR="00754A65">
        <w:rPr>
          <w:rFonts w:cs="Times New Roman"/>
        </w:rPr>
        <w:t xml:space="preserve"> Channel Programme (P</w:t>
      </w:r>
      <w:r w:rsidR="00754A65" w:rsidRPr="00E26753">
        <w:rPr>
          <w:rFonts w:cs="Times New Roman"/>
        </w:rPr>
        <w:t>roject</w:t>
      </w:r>
      <w:r w:rsidR="00754A65">
        <w:rPr>
          <w:rFonts w:cs="Times New Roman"/>
        </w:rPr>
        <w:t xml:space="preserve"> </w:t>
      </w:r>
      <w:r w:rsidR="00754A65">
        <w:rPr>
          <w:rFonts w:ascii="Arial" w:eastAsia="Times New Roman" w:hAnsi="Arial" w:cs="Arial"/>
          <w:sz w:val="20"/>
          <w:szCs w:val="20"/>
        </w:rPr>
        <w:t xml:space="preserve">4282) with </w:t>
      </w:r>
      <w:r w:rsidR="00754A65" w:rsidRPr="00E26753">
        <w:rPr>
          <w:rFonts w:cs="Times New Roman"/>
        </w:rPr>
        <w:t xml:space="preserve">ethical approval </w:t>
      </w:r>
      <w:r w:rsidR="00754A65">
        <w:rPr>
          <w:rFonts w:cs="Times New Roman"/>
        </w:rPr>
        <w:t xml:space="preserve">obtained in each country including the </w:t>
      </w:r>
      <w:r w:rsidR="00754A65" w:rsidRPr="00E26753">
        <w:rPr>
          <w:rFonts w:cs="Times New Roman"/>
        </w:rPr>
        <w:t xml:space="preserve">NHS National Research Ethics Service (13/NE/0267 IRAS 136799), and the Comité de Protection des Personnes en Recherche Biomédicale of the Centre Hospitalier Universitaire Amiens Picardie in France. </w:t>
      </w:r>
      <w:r w:rsidR="00A17AE9">
        <w:rPr>
          <w:rFonts w:cs="Times New Roman"/>
        </w:rPr>
        <w:t xml:space="preserve">The two regions </w:t>
      </w:r>
      <w:r w:rsidR="00DD3BBF">
        <w:rPr>
          <w:rFonts w:cs="Times New Roman"/>
        </w:rPr>
        <w:t xml:space="preserve">involved in </w:t>
      </w:r>
      <w:r w:rsidR="00A17AE9">
        <w:rPr>
          <w:rFonts w:cs="Times New Roman"/>
        </w:rPr>
        <w:t>the study ha</w:t>
      </w:r>
      <w:r w:rsidR="00DD3BBF">
        <w:rPr>
          <w:rFonts w:cs="Times New Roman"/>
        </w:rPr>
        <w:t xml:space="preserve">ve </w:t>
      </w:r>
      <w:r w:rsidR="00A17AE9">
        <w:rPr>
          <w:rFonts w:cs="Times New Roman"/>
        </w:rPr>
        <w:t>similar population demographics</w:t>
      </w:r>
      <w:r w:rsidR="00550AA8">
        <w:rPr>
          <w:rFonts w:cs="Times New Roman"/>
        </w:rPr>
        <w:t xml:space="preserve"> [1]</w:t>
      </w:r>
      <w:r w:rsidR="00A17AE9">
        <w:rPr>
          <w:rFonts w:cs="Times New Roman"/>
        </w:rPr>
        <w:t xml:space="preserve">, consisting of both rural and urban populations close to the national capital, </w:t>
      </w:r>
      <w:r w:rsidR="00A25EE8">
        <w:rPr>
          <w:rFonts w:cs="Times New Roman"/>
        </w:rPr>
        <w:t xml:space="preserve">with </w:t>
      </w:r>
      <w:r w:rsidR="00A17AE9">
        <w:rPr>
          <w:rFonts w:cs="Times New Roman"/>
        </w:rPr>
        <w:t>similar rates of HIV infection</w:t>
      </w:r>
      <w:r w:rsidR="00A25EE8">
        <w:rPr>
          <w:rFonts w:cs="Times New Roman"/>
        </w:rPr>
        <w:t xml:space="preserve"> h</w:t>
      </w:r>
      <w:r w:rsidR="00CC005B">
        <w:rPr>
          <w:rFonts w:cs="Times New Roman"/>
        </w:rPr>
        <w:t>igher than the national average,</w:t>
      </w:r>
      <w:r w:rsidR="00A17AE9">
        <w:rPr>
          <w:rFonts w:cs="Times New Roman"/>
        </w:rPr>
        <w:t xml:space="preserve"> </w:t>
      </w:r>
      <w:r w:rsidR="00CC005B">
        <w:rPr>
          <w:rFonts w:cs="Times New Roman"/>
        </w:rPr>
        <w:t>with each being s</w:t>
      </w:r>
      <w:r w:rsidR="00DD3BBF">
        <w:rPr>
          <w:rFonts w:cs="Times New Roman"/>
        </w:rPr>
        <w:t xml:space="preserve">ituated </w:t>
      </w:r>
      <w:r w:rsidR="00CC005B">
        <w:rPr>
          <w:rFonts w:cs="Times New Roman"/>
        </w:rPr>
        <w:t xml:space="preserve">within </w:t>
      </w:r>
      <w:r w:rsidR="00A17AE9">
        <w:rPr>
          <w:rFonts w:cs="Times New Roman"/>
        </w:rPr>
        <w:t xml:space="preserve">the geographical area covered by the INTERREG research programme scheme. </w:t>
      </w:r>
    </w:p>
    <w:p w:rsidR="003B4B64" w:rsidRDefault="00892EC3" w:rsidP="00BF277A">
      <w:pPr>
        <w:autoSpaceDE w:val="0"/>
        <w:autoSpaceDN w:val="0"/>
        <w:adjustRightInd w:val="0"/>
        <w:spacing w:after="0" w:line="480" w:lineRule="auto"/>
        <w:ind w:firstLine="720"/>
        <w:rPr>
          <w:rFonts w:cs="Times New Roman"/>
        </w:rPr>
      </w:pPr>
      <w:r>
        <w:rPr>
          <w:rFonts w:cs="Times New Roman"/>
        </w:rPr>
        <w:t>More than 142,</w:t>
      </w:r>
      <w:r w:rsidRPr="00892EC3">
        <w:rPr>
          <w:rFonts w:cs="Times New Roman"/>
        </w:rPr>
        <w:t xml:space="preserve">197 people </w:t>
      </w:r>
      <w:r>
        <w:rPr>
          <w:rFonts w:cs="Times New Roman"/>
        </w:rPr>
        <w:t xml:space="preserve">received a positive HIV diagnosis </w:t>
      </w:r>
      <w:r w:rsidRPr="00892EC3">
        <w:rPr>
          <w:rFonts w:cs="Times New Roman"/>
        </w:rPr>
        <w:t>in the WHO European</w:t>
      </w:r>
      <w:r>
        <w:rPr>
          <w:rFonts w:cs="Times New Roman"/>
        </w:rPr>
        <w:t xml:space="preserve"> Region in 2014 including </w:t>
      </w:r>
      <w:r w:rsidRPr="00892EC3">
        <w:rPr>
          <w:rFonts w:cs="Times New Roman"/>
        </w:rPr>
        <w:t>29</w:t>
      </w:r>
      <w:r>
        <w:rPr>
          <w:rFonts w:cs="Times New Roman"/>
        </w:rPr>
        <w:t xml:space="preserve">,992 from </w:t>
      </w:r>
      <w:r w:rsidRPr="00892EC3">
        <w:rPr>
          <w:rFonts w:cs="Times New Roman"/>
        </w:rPr>
        <w:t>the European Union and European Economic Area (EU/EEA)</w:t>
      </w:r>
      <w:r w:rsidR="00CC005B">
        <w:rPr>
          <w:rFonts w:cs="Times New Roman"/>
        </w:rPr>
        <w:t xml:space="preserve"> </w:t>
      </w:r>
      <w:r w:rsidR="00CC005B" w:rsidRPr="00CC005B">
        <w:rPr>
          <w:rFonts w:cs="Times New Roman"/>
        </w:rPr>
        <w:t>[1]</w:t>
      </w:r>
      <w:r w:rsidR="00BF277A">
        <w:rPr>
          <w:rFonts w:cs="Times New Roman"/>
        </w:rPr>
        <w:t xml:space="preserve">. </w:t>
      </w:r>
      <w:r>
        <w:rPr>
          <w:rFonts w:cs="Times New Roman"/>
        </w:rPr>
        <w:t>The</w:t>
      </w:r>
      <w:r w:rsidR="00BF277A">
        <w:rPr>
          <w:rFonts w:cs="Times New Roman"/>
        </w:rPr>
        <w:t xml:space="preserve">se </w:t>
      </w:r>
      <w:r>
        <w:rPr>
          <w:rFonts w:cs="Times New Roman"/>
        </w:rPr>
        <w:t xml:space="preserve">accounted for 21% of </w:t>
      </w:r>
      <w:r w:rsidR="00BF277A">
        <w:rPr>
          <w:rFonts w:cs="Times New Roman"/>
        </w:rPr>
        <w:t xml:space="preserve">the total whilst </w:t>
      </w:r>
      <w:r w:rsidRPr="00892EC3">
        <w:rPr>
          <w:rFonts w:cs="Times New Roman"/>
        </w:rPr>
        <w:t xml:space="preserve">77% </w:t>
      </w:r>
      <w:r w:rsidR="00BF277A">
        <w:rPr>
          <w:rFonts w:cs="Times New Roman"/>
        </w:rPr>
        <w:t xml:space="preserve">of the remainder occurred </w:t>
      </w:r>
      <w:r w:rsidRPr="00892EC3">
        <w:rPr>
          <w:rFonts w:cs="Times New Roman"/>
        </w:rPr>
        <w:t>in the</w:t>
      </w:r>
      <w:r>
        <w:rPr>
          <w:rFonts w:cs="Times New Roman"/>
        </w:rPr>
        <w:t xml:space="preserve"> East of the Region</w:t>
      </w:r>
      <w:r w:rsidR="00BF277A">
        <w:rPr>
          <w:rFonts w:cs="Times New Roman"/>
        </w:rPr>
        <w:t xml:space="preserve"> in countries such as </w:t>
      </w:r>
      <w:r w:rsidR="00BF277A" w:rsidRPr="00BF277A">
        <w:rPr>
          <w:rFonts w:cs="Times New Roman"/>
        </w:rPr>
        <w:t>Belarus</w:t>
      </w:r>
      <w:r w:rsidR="00BF277A">
        <w:rPr>
          <w:rFonts w:cs="Times New Roman"/>
        </w:rPr>
        <w:t xml:space="preserve">, </w:t>
      </w:r>
      <w:r w:rsidR="00A73D66">
        <w:rPr>
          <w:rFonts w:cs="Times New Roman"/>
        </w:rPr>
        <w:t>Ukraine and R</w:t>
      </w:r>
      <w:r w:rsidR="00BF277A">
        <w:rPr>
          <w:rFonts w:cs="Times New Roman"/>
        </w:rPr>
        <w:t xml:space="preserve">ussia [1]. There </w:t>
      </w:r>
      <w:r>
        <w:rPr>
          <w:rFonts w:cs="Times New Roman"/>
        </w:rPr>
        <w:t xml:space="preserve">were </w:t>
      </w:r>
      <w:r w:rsidR="00775E35">
        <w:rPr>
          <w:rFonts w:cs="Times New Roman"/>
        </w:rPr>
        <w:t xml:space="preserve">consequently </w:t>
      </w:r>
      <w:r w:rsidR="00A73D66" w:rsidRPr="00892EC3">
        <w:rPr>
          <w:rFonts w:cs="Times New Roman"/>
        </w:rPr>
        <w:t>59</w:t>
      </w:r>
      <w:r w:rsidR="00A73D66">
        <w:rPr>
          <w:rFonts w:cs="Times New Roman"/>
        </w:rPr>
        <w:t>,</w:t>
      </w:r>
      <w:r w:rsidR="00A73D66" w:rsidRPr="00892EC3">
        <w:rPr>
          <w:rFonts w:cs="Times New Roman"/>
        </w:rPr>
        <w:t>647</w:t>
      </w:r>
      <w:r w:rsidR="00A73D66">
        <w:rPr>
          <w:rFonts w:cs="Times New Roman"/>
        </w:rPr>
        <w:t xml:space="preserve"> </w:t>
      </w:r>
      <w:r w:rsidR="0055597B" w:rsidRPr="00E26753">
        <w:rPr>
          <w:rFonts w:cs="Times New Roman"/>
        </w:rPr>
        <w:t xml:space="preserve">new </w:t>
      </w:r>
      <w:r w:rsidR="00A65027" w:rsidRPr="00E26753">
        <w:rPr>
          <w:rFonts w:cs="Times New Roman"/>
        </w:rPr>
        <w:t xml:space="preserve">diagnoses </w:t>
      </w:r>
      <w:r w:rsidR="00A73D66">
        <w:rPr>
          <w:rFonts w:cs="Times New Roman"/>
        </w:rPr>
        <w:t>(</w:t>
      </w:r>
      <w:r w:rsidR="00A73D66" w:rsidRPr="00892EC3">
        <w:rPr>
          <w:rFonts w:cs="Times New Roman"/>
        </w:rPr>
        <w:t>8.2</w:t>
      </w:r>
      <w:r w:rsidR="00A73D66">
        <w:rPr>
          <w:rFonts w:cs="Times New Roman"/>
        </w:rPr>
        <w:t>:</w:t>
      </w:r>
      <w:r w:rsidR="00A65027" w:rsidRPr="00E26753">
        <w:rPr>
          <w:rFonts w:cs="Times New Roman"/>
        </w:rPr>
        <w:t>100</w:t>
      </w:r>
      <w:r w:rsidR="00BF277A">
        <w:rPr>
          <w:rFonts w:cs="Times New Roman"/>
        </w:rPr>
        <w:t>,</w:t>
      </w:r>
      <w:r w:rsidR="00A65027" w:rsidRPr="00E26753">
        <w:rPr>
          <w:rFonts w:cs="Times New Roman"/>
        </w:rPr>
        <w:t>000</w:t>
      </w:r>
      <w:r w:rsidR="00A73D66">
        <w:rPr>
          <w:rFonts w:cs="Times New Roman"/>
        </w:rPr>
        <w:t>)</w:t>
      </w:r>
      <w:r w:rsidR="00A65027" w:rsidRPr="00E26753">
        <w:rPr>
          <w:rFonts w:cs="Times New Roman"/>
        </w:rPr>
        <w:t xml:space="preserve"> </w:t>
      </w:r>
      <w:r w:rsidR="0087288D" w:rsidRPr="00E26753">
        <w:rPr>
          <w:rFonts w:cs="Times New Roman"/>
        </w:rPr>
        <w:t>in t</w:t>
      </w:r>
      <w:r w:rsidR="00A65027" w:rsidRPr="00E26753">
        <w:rPr>
          <w:rFonts w:cs="Times New Roman"/>
        </w:rPr>
        <w:t>he</w:t>
      </w:r>
      <w:r w:rsidR="0087288D" w:rsidRPr="00E26753">
        <w:rPr>
          <w:rFonts w:cs="Times New Roman"/>
        </w:rPr>
        <w:t xml:space="preserve"> </w:t>
      </w:r>
      <w:r w:rsidR="00A65027" w:rsidRPr="00E26753">
        <w:rPr>
          <w:rFonts w:cs="Times New Roman"/>
        </w:rPr>
        <w:t xml:space="preserve">European Region </w:t>
      </w:r>
      <w:r w:rsidR="00775E35">
        <w:rPr>
          <w:rFonts w:cs="Times New Roman"/>
        </w:rPr>
        <w:t>as a whole,</w:t>
      </w:r>
      <w:r>
        <w:rPr>
          <w:rFonts w:cs="Times New Roman"/>
        </w:rPr>
        <w:t xml:space="preserve"> </w:t>
      </w:r>
      <w:r w:rsidR="00A65027" w:rsidRPr="00E26753">
        <w:rPr>
          <w:rFonts w:cs="Times New Roman"/>
        </w:rPr>
        <w:t xml:space="preserve">with </w:t>
      </w:r>
      <w:r w:rsidR="00A73D66">
        <w:rPr>
          <w:rFonts w:cs="Times New Roman"/>
        </w:rPr>
        <w:t>32,605 cases (</w:t>
      </w:r>
      <w:r>
        <w:rPr>
          <w:rFonts w:cs="Times New Roman"/>
        </w:rPr>
        <w:t>6.4</w:t>
      </w:r>
      <w:r w:rsidR="00A73D66">
        <w:rPr>
          <w:rFonts w:cs="Times New Roman"/>
        </w:rPr>
        <w:t>:</w:t>
      </w:r>
      <w:r w:rsidR="00A65027" w:rsidRPr="00E26753">
        <w:rPr>
          <w:rFonts w:cs="Times New Roman"/>
        </w:rPr>
        <w:t>100</w:t>
      </w:r>
      <w:r w:rsidR="00775E35">
        <w:rPr>
          <w:rFonts w:cs="Times New Roman"/>
        </w:rPr>
        <w:t>,</w:t>
      </w:r>
      <w:r w:rsidR="00A65027" w:rsidRPr="00E26753">
        <w:rPr>
          <w:rFonts w:cs="Times New Roman"/>
        </w:rPr>
        <w:t>000</w:t>
      </w:r>
      <w:r w:rsidR="00A73D66">
        <w:rPr>
          <w:rFonts w:cs="Times New Roman"/>
        </w:rPr>
        <w:t>)</w:t>
      </w:r>
      <w:r w:rsidR="00A65027" w:rsidRPr="00E26753">
        <w:rPr>
          <w:rFonts w:cs="Times New Roman"/>
        </w:rPr>
        <w:t xml:space="preserve"> in the </w:t>
      </w:r>
      <w:r w:rsidR="00BF277A">
        <w:rPr>
          <w:rFonts w:cs="Times New Roman"/>
        </w:rPr>
        <w:t>EU/EEA area</w:t>
      </w:r>
      <w:r w:rsidR="00A73D66">
        <w:rPr>
          <w:rFonts w:cs="Times New Roman"/>
        </w:rPr>
        <w:t xml:space="preserve">. </w:t>
      </w:r>
      <w:r w:rsidR="00BF277A">
        <w:rPr>
          <w:rFonts w:cs="Times New Roman"/>
        </w:rPr>
        <w:t xml:space="preserve">These are the </w:t>
      </w:r>
      <w:r w:rsidR="0055597B" w:rsidRPr="00E26753">
        <w:rPr>
          <w:rFonts w:cs="Times New Roman"/>
        </w:rPr>
        <w:t xml:space="preserve">highest </w:t>
      </w:r>
      <w:r w:rsidR="00A17AE9" w:rsidRPr="00E26753">
        <w:rPr>
          <w:rFonts w:cs="Times New Roman"/>
        </w:rPr>
        <w:t>ever-recorded</w:t>
      </w:r>
      <w:r w:rsidR="0055597B" w:rsidRPr="00E26753">
        <w:rPr>
          <w:rFonts w:cs="Times New Roman"/>
        </w:rPr>
        <w:t xml:space="preserve"> number of new HIV cases since records began</w:t>
      </w:r>
      <w:r w:rsidR="00BF277A">
        <w:rPr>
          <w:rFonts w:cs="Times New Roman"/>
        </w:rPr>
        <w:t xml:space="preserve">, and come on top of an </w:t>
      </w:r>
      <w:r w:rsidR="00BF277A" w:rsidRPr="00BF277A">
        <w:rPr>
          <w:rFonts w:cs="Times New Roman"/>
        </w:rPr>
        <w:t>80% increase between 2004 and 2013</w:t>
      </w:r>
      <w:r w:rsidR="0055597B" w:rsidRPr="00E26753">
        <w:rPr>
          <w:rFonts w:cs="Times New Roman"/>
        </w:rPr>
        <w:t xml:space="preserve"> </w:t>
      </w:r>
      <w:r w:rsidR="00741215">
        <w:rPr>
          <w:rFonts w:cs="Times New Roman"/>
        </w:rPr>
        <w:t>[</w:t>
      </w:r>
      <w:r w:rsidR="002403A1" w:rsidRPr="00E26753">
        <w:rPr>
          <w:rFonts w:cs="Times New Roman"/>
        </w:rPr>
        <w:t>1</w:t>
      </w:r>
      <w:r w:rsidR="00741215">
        <w:rPr>
          <w:rFonts w:cs="Times New Roman"/>
        </w:rPr>
        <w:t>]</w:t>
      </w:r>
      <w:r w:rsidR="0087288D" w:rsidRPr="00E26753">
        <w:rPr>
          <w:rFonts w:cs="Times New Roman"/>
        </w:rPr>
        <w:t xml:space="preserve">. </w:t>
      </w:r>
      <w:r w:rsidR="00DF0BF9" w:rsidRPr="00E26753">
        <w:rPr>
          <w:rFonts w:cs="Times New Roman"/>
        </w:rPr>
        <w:t xml:space="preserve">HIV </w:t>
      </w:r>
      <w:r w:rsidR="00224EA5" w:rsidRPr="00E26753">
        <w:rPr>
          <w:rFonts w:cs="Times New Roman"/>
        </w:rPr>
        <w:t xml:space="preserve">prevalence </w:t>
      </w:r>
      <w:r w:rsidR="0087288D" w:rsidRPr="00E26753">
        <w:rPr>
          <w:rFonts w:cs="Times New Roman"/>
        </w:rPr>
        <w:t>amongst migrants</w:t>
      </w:r>
      <w:r w:rsidR="00DF0BF9" w:rsidRPr="00E26753">
        <w:rPr>
          <w:rFonts w:cs="Times New Roman"/>
        </w:rPr>
        <w:t xml:space="preserve"> </w:t>
      </w:r>
      <w:r w:rsidR="00224EA5" w:rsidRPr="00E26753">
        <w:rPr>
          <w:rFonts w:cs="Times New Roman"/>
        </w:rPr>
        <w:t xml:space="preserve">and injecting drug users </w:t>
      </w:r>
      <w:r w:rsidR="00EA05C0" w:rsidRPr="00E26753">
        <w:rPr>
          <w:rFonts w:cs="Times New Roman"/>
        </w:rPr>
        <w:t>(IVDUs)</w:t>
      </w:r>
      <w:r w:rsidR="00964D5F" w:rsidRPr="00E26753">
        <w:rPr>
          <w:rFonts w:cs="Times New Roman"/>
        </w:rPr>
        <w:t xml:space="preserve"> </w:t>
      </w:r>
      <w:r w:rsidR="0087288D" w:rsidRPr="00E26753">
        <w:rPr>
          <w:rFonts w:cs="Times New Roman"/>
        </w:rPr>
        <w:t>continues</w:t>
      </w:r>
      <w:r w:rsidR="00DF0BF9" w:rsidRPr="00E26753">
        <w:rPr>
          <w:rFonts w:cs="Times New Roman"/>
        </w:rPr>
        <w:t xml:space="preserve"> to rise, but </w:t>
      </w:r>
      <w:r w:rsidR="00224EA5" w:rsidRPr="00E26753">
        <w:rPr>
          <w:rFonts w:cs="Times New Roman"/>
        </w:rPr>
        <w:t xml:space="preserve">prevalence in </w:t>
      </w:r>
      <w:r w:rsidR="00DF0BF9" w:rsidRPr="00E26753">
        <w:rPr>
          <w:rFonts w:cs="Times New Roman"/>
        </w:rPr>
        <w:t xml:space="preserve">heterosexuals </w:t>
      </w:r>
      <w:r w:rsidR="00224EA5" w:rsidRPr="00E26753">
        <w:rPr>
          <w:rFonts w:cs="Times New Roman"/>
        </w:rPr>
        <w:t>is also increasing</w:t>
      </w:r>
      <w:r w:rsidR="0014717E">
        <w:rPr>
          <w:rFonts w:cs="Times New Roman"/>
        </w:rPr>
        <w:t>, especially in the east of the region</w:t>
      </w:r>
      <w:r w:rsidR="00960A3E" w:rsidRPr="00E26753">
        <w:rPr>
          <w:rFonts w:cs="Times New Roman"/>
        </w:rPr>
        <w:t xml:space="preserve"> </w:t>
      </w:r>
      <w:r w:rsidR="00741215">
        <w:rPr>
          <w:rFonts w:cs="Times New Roman"/>
        </w:rPr>
        <w:t>[</w:t>
      </w:r>
      <w:r w:rsidR="002403A1" w:rsidRPr="00E26753">
        <w:rPr>
          <w:rFonts w:cs="Times New Roman"/>
        </w:rPr>
        <w:t>2-4</w:t>
      </w:r>
      <w:r w:rsidR="00741215">
        <w:rPr>
          <w:rFonts w:cs="Times New Roman"/>
        </w:rPr>
        <w:t>]</w:t>
      </w:r>
      <w:r w:rsidR="00960A3E" w:rsidRPr="00E26753">
        <w:rPr>
          <w:rFonts w:cs="Times New Roman"/>
        </w:rPr>
        <w:t xml:space="preserve">. </w:t>
      </w:r>
    </w:p>
    <w:p w:rsidR="00403F1D" w:rsidRDefault="00960A3E" w:rsidP="00403F1D">
      <w:pPr>
        <w:autoSpaceDE w:val="0"/>
        <w:autoSpaceDN w:val="0"/>
        <w:adjustRightInd w:val="0"/>
        <w:spacing w:after="0" w:line="480" w:lineRule="auto"/>
        <w:ind w:firstLine="720"/>
        <w:rPr>
          <w:rFonts w:cs="Times New Roman"/>
        </w:rPr>
      </w:pPr>
      <w:r w:rsidRPr="00E67C9F">
        <w:rPr>
          <w:rFonts w:cs="Times New Roman"/>
        </w:rPr>
        <w:t xml:space="preserve">Data from Public Health England </w:t>
      </w:r>
      <w:r w:rsidR="00741215" w:rsidRPr="00E67C9F">
        <w:rPr>
          <w:rFonts w:cs="Times New Roman"/>
        </w:rPr>
        <w:t xml:space="preserve">[5] </w:t>
      </w:r>
      <w:r w:rsidRPr="00E67C9F">
        <w:rPr>
          <w:rFonts w:cs="Times New Roman"/>
        </w:rPr>
        <w:t xml:space="preserve">show that </w:t>
      </w:r>
      <w:r w:rsidR="00EA05C0" w:rsidRPr="00E67C9F">
        <w:rPr>
          <w:rFonts w:cs="Times New Roman"/>
        </w:rPr>
        <w:t>6,</w:t>
      </w:r>
      <w:r w:rsidR="00E67C9F" w:rsidRPr="00E67C9F">
        <w:rPr>
          <w:rFonts w:cs="Times New Roman"/>
        </w:rPr>
        <w:t>095</w:t>
      </w:r>
      <w:r w:rsidR="00EA05C0" w:rsidRPr="00E67C9F">
        <w:rPr>
          <w:rFonts w:cs="Times New Roman"/>
        </w:rPr>
        <w:t xml:space="preserve"> </w:t>
      </w:r>
      <w:r w:rsidRPr="00E67C9F">
        <w:rPr>
          <w:rFonts w:cs="Times New Roman"/>
        </w:rPr>
        <w:t xml:space="preserve">people </w:t>
      </w:r>
      <w:r w:rsidR="00E67C9F">
        <w:rPr>
          <w:rFonts w:cs="Times New Roman"/>
        </w:rPr>
        <w:t xml:space="preserve">tested positive for </w:t>
      </w:r>
      <w:r w:rsidRPr="00E67C9F">
        <w:rPr>
          <w:rFonts w:cs="Times New Roman"/>
        </w:rPr>
        <w:t xml:space="preserve">HIV in the </w:t>
      </w:r>
      <w:r w:rsidR="001430F6" w:rsidRPr="00E67C9F">
        <w:rPr>
          <w:rFonts w:cs="Times New Roman"/>
        </w:rPr>
        <w:t>UK</w:t>
      </w:r>
      <w:r w:rsidRPr="00E67C9F">
        <w:rPr>
          <w:rFonts w:cs="Times New Roman"/>
        </w:rPr>
        <w:t xml:space="preserve"> in 201</w:t>
      </w:r>
      <w:r w:rsidR="00E67C9F" w:rsidRPr="00E67C9F">
        <w:rPr>
          <w:rFonts w:cs="Times New Roman"/>
        </w:rPr>
        <w:t>5, the most recent year for which statistics are available</w:t>
      </w:r>
      <w:r w:rsidR="00EA05C0" w:rsidRPr="00E67C9F">
        <w:rPr>
          <w:rFonts w:cs="Times New Roman"/>
        </w:rPr>
        <w:t>.</w:t>
      </w:r>
      <w:r w:rsidR="00775E35">
        <w:rPr>
          <w:rFonts w:cs="Times New Roman"/>
        </w:rPr>
        <w:t xml:space="preserve"> This is the highest number of new </w:t>
      </w:r>
      <w:r w:rsidR="00775E35">
        <w:rPr>
          <w:rFonts w:cs="Times New Roman"/>
        </w:rPr>
        <w:lastRenderedPageBreak/>
        <w:t xml:space="preserve">diagnoses in any EU/EEA country </w:t>
      </w:r>
      <w:r w:rsidR="00A73D66">
        <w:rPr>
          <w:rFonts w:cs="Times New Roman"/>
        </w:rPr>
        <w:t xml:space="preserve">with </w:t>
      </w:r>
      <w:r w:rsidR="00775E35">
        <w:rPr>
          <w:rFonts w:cs="Times New Roman"/>
        </w:rPr>
        <w:t xml:space="preserve">139,778 people living with </w:t>
      </w:r>
      <w:r w:rsidR="00403F1D">
        <w:rPr>
          <w:rFonts w:cs="Times New Roman"/>
        </w:rPr>
        <w:t xml:space="preserve">the virus </w:t>
      </w:r>
      <w:r w:rsidR="00A73D66">
        <w:rPr>
          <w:rFonts w:cs="Times New Roman"/>
        </w:rPr>
        <w:t xml:space="preserve">in </w:t>
      </w:r>
      <w:r w:rsidR="00403F1D">
        <w:rPr>
          <w:rFonts w:cs="Times New Roman"/>
        </w:rPr>
        <w:t xml:space="preserve">2014. Of these, </w:t>
      </w:r>
      <w:r w:rsidR="00403F1D" w:rsidRPr="00E67C9F">
        <w:rPr>
          <w:rFonts w:cs="Times New Roman"/>
        </w:rPr>
        <w:t xml:space="preserve">305 </w:t>
      </w:r>
      <w:r w:rsidR="00403F1D">
        <w:rPr>
          <w:rFonts w:cs="Times New Roman"/>
        </w:rPr>
        <w:t>received an A</w:t>
      </w:r>
      <w:r w:rsidR="00403F1D" w:rsidRPr="00E67C9F">
        <w:rPr>
          <w:rFonts w:cs="Times New Roman"/>
        </w:rPr>
        <w:t xml:space="preserve">IDS </w:t>
      </w:r>
      <w:r w:rsidR="00403F1D">
        <w:rPr>
          <w:rFonts w:cs="Times New Roman"/>
        </w:rPr>
        <w:t xml:space="preserve">diagnosis </w:t>
      </w:r>
      <w:r w:rsidR="00403F1D" w:rsidRPr="00E67C9F">
        <w:rPr>
          <w:rFonts w:cs="Times New Roman"/>
        </w:rPr>
        <w:t>at the</w:t>
      </w:r>
      <w:r w:rsidR="00403F1D">
        <w:rPr>
          <w:rFonts w:cs="Times New Roman"/>
        </w:rPr>
        <w:t xml:space="preserve"> point of their first test</w:t>
      </w:r>
      <w:r w:rsidR="00403F1D" w:rsidRPr="00E67C9F">
        <w:rPr>
          <w:rFonts w:cs="Times New Roman"/>
        </w:rPr>
        <w:t xml:space="preserve"> </w:t>
      </w:r>
      <w:r w:rsidR="00775E35">
        <w:rPr>
          <w:rFonts w:cs="Times New Roman"/>
        </w:rPr>
        <w:t>[1].</w:t>
      </w:r>
      <w:r w:rsidR="004706B7">
        <w:rPr>
          <w:rFonts w:cs="Times New Roman"/>
        </w:rPr>
        <w:t xml:space="preserve"> </w:t>
      </w:r>
    </w:p>
    <w:p w:rsidR="00F94AA8" w:rsidRPr="00403F1D" w:rsidRDefault="00E67C9F" w:rsidP="00403F1D">
      <w:pPr>
        <w:autoSpaceDE w:val="0"/>
        <w:autoSpaceDN w:val="0"/>
        <w:adjustRightInd w:val="0"/>
        <w:spacing w:after="0" w:line="480" w:lineRule="auto"/>
        <w:ind w:firstLine="720"/>
        <w:rPr>
          <w:rFonts w:cs="Times New Roman"/>
        </w:rPr>
      </w:pPr>
      <w:r w:rsidRPr="00E67C9F">
        <w:rPr>
          <w:rFonts w:cs="Times New Roman"/>
        </w:rPr>
        <w:t>M</w:t>
      </w:r>
      <w:r w:rsidR="0010233F" w:rsidRPr="00E67C9F">
        <w:rPr>
          <w:rFonts w:cs="Times New Roman"/>
        </w:rPr>
        <w:t>en who have sex with men (M</w:t>
      </w:r>
      <w:r w:rsidR="00EA05C0" w:rsidRPr="00E67C9F">
        <w:rPr>
          <w:rFonts w:cs="Times New Roman"/>
        </w:rPr>
        <w:t>SM</w:t>
      </w:r>
      <w:r w:rsidR="0010233F" w:rsidRPr="00E67C9F">
        <w:rPr>
          <w:rFonts w:cs="Times New Roman"/>
        </w:rPr>
        <w:t>)</w:t>
      </w:r>
      <w:r w:rsidR="00EA05C0" w:rsidRPr="00E67C9F">
        <w:rPr>
          <w:rFonts w:cs="Times New Roman"/>
        </w:rPr>
        <w:t xml:space="preserve"> accounted for </w:t>
      </w:r>
      <w:r w:rsidR="00A73D66" w:rsidRPr="00E67C9F">
        <w:rPr>
          <w:rFonts w:cs="Times New Roman"/>
        </w:rPr>
        <w:t>3,320</w:t>
      </w:r>
      <w:r w:rsidR="00A73D66">
        <w:rPr>
          <w:rFonts w:cs="Times New Roman"/>
        </w:rPr>
        <w:t xml:space="preserve"> (</w:t>
      </w:r>
      <w:r w:rsidRPr="00E67C9F">
        <w:rPr>
          <w:rFonts w:cs="Times New Roman"/>
        </w:rPr>
        <w:t>54%</w:t>
      </w:r>
      <w:r w:rsidR="00A73D66">
        <w:rPr>
          <w:rFonts w:cs="Times New Roman"/>
        </w:rPr>
        <w:t>)</w:t>
      </w:r>
      <w:r w:rsidRPr="00E67C9F">
        <w:rPr>
          <w:rFonts w:cs="Times New Roman"/>
        </w:rPr>
        <w:t xml:space="preserve"> of </w:t>
      </w:r>
      <w:r w:rsidR="00EA05C0" w:rsidRPr="00E67C9F">
        <w:rPr>
          <w:rFonts w:cs="Times New Roman"/>
        </w:rPr>
        <w:t xml:space="preserve">these diagnoses </w:t>
      </w:r>
      <w:r w:rsidR="00E204D8">
        <w:rPr>
          <w:rFonts w:cs="Times New Roman"/>
        </w:rPr>
        <w:t xml:space="preserve">with 2,360 </w:t>
      </w:r>
      <w:r w:rsidR="00EA05C0" w:rsidRPr="00E204D8">
        <w:rPr>
          <w:rFonts w:cs="Times New Roman"/>
        </w:rPr>
        <w:t xml:space="preserve">cases </w:t>
      </w:r>
      <w:r w:rsidR="00F94AA8">
        <w:rPr>
          <w:rFonts w:cs="Times New Roman"/>
        </w:rPr>
        <w:t xml:space="preserve">(39%) </w:t>
      </w:r>
      <w:r w:rsidR="00DF0BF9" w:rsidRPr="00E204D8">
        <w:rPr>
          <w:rFonts w:cs="Times New Roman"/>
        </w:rPr>
        <w:t xml:space="preserve">occurring in </w:t>
      </w:r>
      <w:r w:rsidR="00EA05C0" w:rsidRPr="00E204D8">
        <w:rPr>
          <w:rFonts w:cs="Times New Roman"/>
        </w:rPr>
        <w:t>heterosexuals</w:t>
      </w:r>
      <w:r w:rsidR="00E204D8">
        <w:rPr>
          <w:rFonts w:cs="Times New Roman"/>
        </w:rPr>
        <w:t xml:space="preserve"> (1,010 men and 1,350 women). I</w:t>
      </w:r>
      <w:r w:rsidR="00E204D8" w:rsidRPr="00E204D8">
        <w:rPr>
          <w:rFonts w:cs="Times New Roman"/>
        </w:rPr>
        <w:t>ntravenous drug users (IVDUs)</w:t>
      </w:r>
      <w:r w:rsidR="00E204D8">
        <w:rPr>
          <w:rFonts w:cs="Times New Roman"/>
        </w:rPr>
        <w:t xml:space="preserve"> a</w:t>
      </w:r>
      <w:r w:rsidR="00CC005B">
        <w:rPr>
          <w:rFonts w:cs="Times New Roman"/>
        </w:rPr>
        <w:t xml:space="preserve">ccounted for 210 or 2% of cases, </w:t>
      </w:r>
      <w:r w:rsidR="00E204D8" w:rsidRPr="00E204D8">
        <w:rPr>
          <w:rFonts w:cs="Times New Roman"/>
        </w:rPr>
        <w:t xml:space="preserve">130 </w:t>
      </w:r>
      <w:r w:rsidR="00CC005B">
        <w:rPr>
          <w:rFonts w:cs="Times New Roman"/>
        </w:rPr>
        <w:t xml:space="preserve">were </w:t>
      </w:r>
      <w:r w:rsidR="00E204D8">
        <w:rPr>
          <w:rFonts w:cs="Times New Roman"/>
        </w:rPr>
        <w:t xml:space="preserve">due to </w:t>
      </w:r>
      <w:r w:rsidR="00DF0BF9" w:rsidRPr="00E204D8">
        <w:rPr>
          <w:rFonts w:cs="Times New Roman"/>
        </w:rPr>
        <w:t xml:space="preserve">vertical </w:t>
      </w:r>
      <w:r w:rsidR="00CC005B">
        <w:rPr>
          <w:rFonts w:cs="Times New Roman"/>
        </w:rPr>
        <w:t>mother-to-</w:t>
      </w:r>
      <w:r w:rsidR="00EA05C0" w:rsidRPr="00E204D8">
        <w:rPr>
          <w:rFonts w:cs="Times New Roman"/>
        </w:rPr>
        <w:t>infant</w:t>
      </w:r>
      <w:r w:rsidR="00964D5F" w:rsidRPr="00E204D8">
        <w:rPr>
          <w:rFonts w:cs="Times New Roman"/>
        </w:rPr>
        <w:t xml:space="preserve"> transmission</w:t>
      </w:r>
      <w:r w:rsidR="00CC005B">
        <w:rPr>
          <w:rFonts w:cs="Times New Roman"/>
        </w:rPr>
        <w:t xml:space="preserve">, and 50 cases </w:t>
      </w:r>
      <w:r w:rsidR="00F94AA8">
        <w:rPr>
          <w:rFonts w:cs="Times New Roman"/>
        </w:rPr>
        <w:t xml:space="preserve">were caused by </w:t>
      </w:r>
      <w:r w:rsidR="00653ADB" w:rsidRPr="00E204D8">
        <w:rPr>
          <w:rFonts w:cs="Times New Roman"/>
        </w:rPr>
        <w:t xml:space="preserve">the </w:t>
      </w:r>
      <w:r w:rsidR="00DF0BF9" w:rsidRPr="00E204D8">
        <w:rPr>
          <w:rFonts w:cs="Times New Roman"/>
        </w:rPr>
        <w:t>t</w:t>
      </w:r>
      <w:r w:rsidR="00EA05C0" w:rsidRPr="00E204D8">
        <w:rPr>
          <w:rFonts w:cs="Times New Roman"/>
        </w:rPr>
        <w:t xml:space="preserve">ransfusion of </w:t>
      </w:r>
      <w:r w:rsidR="00653ADB" w:rsidRPr="00E204D8">
        <w:rPr>
          <w:rFonts w:cs="Times New Roman"/>
        </w:rPr>
        <w:t xml:space="preserve">contaminated </w:t>
      </w:r>
      <w:r w:rsidR="00EA05C0" w:rsidRPr="00E204D8">
        <w:rPr>
          <w:rFonts w:cs="Times New Roman"/>
        </w:rPr>
        <w:t>blood</w:t>
      </w:r>
      <w:r w:rsidR="00F94AA8">
        <w:rPr>
          <w:rFonts w:cs="Times New Roman"/>
        </w:rPr>
        <w:t xml:space="preserve"> or </w:t>
      </w:r>
      <w:r w:rsidR="00DF0BF9" w:rsidRPr="00E204D8">
        <w:rPr>
          <w:rFonts w:cs="Times New Roman"/>
        </w:rPr>
        <w:t xml:space="preserve">blood </w:t>
      </w:r>
      <w:r w:rsidR="00EA05C0" w:rsidRPr="00E204D8">
        <w:rPr>
          <w:rFonts w:cs="Times New Roman"/>
        </w:rPr>
        <w:t>products</w:t>
      </w:r>
      <w:r w:rsidR="0010233F" w:rsidRPr="00E204D8">
        <w:rPr>
          <w:rFonts w:cs="Times New Roman"/>
        </w:rPr>
        <w:t>.</w:t>
      </w:r>
      <w:r w:rsidR="00F94AA8">
        <w:rPr>
          <w:rFonts w:cs="Times New Roman"/>
        </w:rPr>
        <w:t xml:space="preserve"> Thirty-nine percent (2,350) of </w:t>
      </w:r>
      <w:r w:rsidR="00A73D66">
        <w:rPr>
          <w:rFonts w:cs="Times New Roman"/>
        </w:rPr>
        <w:t>all a</w:t>
      </w:r>
      <w:r w:rsidR="00F94AA8">
        <w:rPr>
          <w:rFonts w:cs="Times New Roman"/>
        </w:rPr>
        <w:t>dult</w:t>
      </w:r>
      <w:r w:rsidR="00A73D66">
        <w:rPr>
          <w:rFonts w:cs="Times New Roman"/>
        </w:rPr>
        <w:t xml:space="preserve"> diagnoses </w:t>
      </w:r>
      <w:r w:rsidR="00F94AA8">
        <w:rPr>
          <w:rFonts w:cs="Times New Roman"/>
        </w:rPr>
        <w:t>w</w:t>
      </w:r>
      <w:r w:rsidR="00F94AA8" w:rsidRPr="00F94AA8">
        <w:rPr>
          <w:rFonts w:cs="Times New Roman"/>
        </w:rPr>
        <w:t xml:space="preserve">ere </w:t>
      </w:r>
      <w:r w:rsidR="00F94AA8">
        <w:rPr>
          <w:rFonts w:cs="Times New Roman"/>
        </w:rPr>
        <w:t>l</w:t>
      </w:r>
      <w:r w:rsidR="00F94AA8" w:rsidRPr="00F94AA8">
        <w:rPr>
          <w:rFonts w:cs="Times New Roman"/>
        </w:rPr>
        <w:t>ate</w:t>
      </w:r>
      <w:r w:rsidR="00F94AA8">
        <w:rPr>
          <w:rFonts w:cs="Times New Roman"/>
        </w:rPr>
        <w:t>, a slight improvement on previous years</w:t>
      </w:r>
      <w:r w:rsidR="00056459">
        <w:rPr>
          <w:rFonts w:cs="Times New Roman"/>
        </w:rPr>
        <w:t>, al</w:t>
      </w:r>
      <w:r w:rsidR="00F94AA8">
        <w:rPr>
          <w:rFonts w:cs="Times New Roman"/>
        </w:rPr>
        <w:t xml:space="preserve">though the </w:t>
      </w:r>
      <w:r w:rsidR="00F94AA8" w:rsidRPr="00F94AA8">
        <w:rPr>
          <w:rFonts w:cs="Times New Roman"/>
        </w:rPr>
        <w:t xml:space="preserve">proportion </w:t>
      </w:r>
      <w:r w:rsidR="00F94AA8">
        <w:rPr>
          <w:rFonts w:cs="Times New Roman"/>
        </w:rPr>
        <w:t xml:space="preserve">of late diagnoses </w:t>
      </w:r>
      <w:r w:rsidR="00056459">
        <w:rPr>
          <w:rFonts w:cs="Times New Roman"/>
        </w:rPr>
        <w:t>in</w:t>
      </w:r>
      <w:r w:rsidR="003B4B64">
        <w:rPr>
          <w:rFonts w:cs="Times New Roman"/>
        </w:rPr>
        <w:t xml:space="preserve"> </w:t>
      </w:r>
      <w:r w:rsidR="00056459">
        <w:rPr>
          <w:rFonts w:cs="Times New Roman"/>
        </w:rPr>
        <w:t xml:space="preserve">both male </w:t>
      </w:r>
      <w:r w:rsidR="00A73D66">
        <w:rPr>
          <w:rFonts w:cs="Times New Roman"/>
        </w:rPr>
        <w:t xml:space="preserve">(490/890) </w:t>
      </w:r>
      <w:r w:rsidR="00056459">
        <w:rPr>
          <w:rFonts w:cs="Times New Roman"/>
        </w:rPr>
        <w:t xml:space="preserve">and female </w:t>
      </w:r>
      <w:r w:rsidR="00A73D66">
        <w:rPr>
          <w:rFonts w:cs="Times New Roman"/>
        </w:rPr>
        <w:t>(</w:t>
      </w:r>
      <w:r w:rsidR="00A73D66" w:rsidRPr="00F94AA8">
        <w:rPr>
          <w:rFonts w:cs="Times New Roman"/>
        </w:rPr>
        <w:t>536/1,094</w:t>
      </w:r>
      <w:r w:rsidR="00A73D66">
        <w:rPr>
          <w:rFonts w:cs="Times New Roman"/>
        </w:rPr>
        <w:t xml:space="preserve">) </w:t>
      </w:r>
      <w:r w:rsidR="00F94AA8">
        <w:rPr>
          <w:rFonts w:cs="Times New Roman"/>
        </w:rPr>
        <w:t>heterosexuals</w:t>
      </w:r>
      <w:r w:rsidR="00F94AA8" w:rsidRPr="00F94AA8">
        <w:rPr>
          <w:rFonts w:cs="Times New Roman"/>
        </w:rPr>
        <w:t xml:space="preserve"> </w:t>
      </w:r>
      <w:r w:rsidR="00056459">
        <w:rPr>
          <w:rFonts w:cs="Times New Roman"/>
        </w:rPr>
        <w:t xml:space="preserve">is higher </w:t>
      </w:r>
      <w:r w:rsidR="003B4B64">
        <w:rPr>
          <w:rFonts w:cs="Times New Roman"/>
        </w:rPr>
        <w:t>than MSMs at 55%</w:t>
      </w:r>
      <w:r w:rsidR="00A73D66">
        <w:rPr>
          <w:rFonts w:cs="Times New Roman"/>
        </w:rPr>
        <w:t xml:space="preserve">, </w:t>
      </w:r>
      <w:r w:rsidR="00F94AA8" w:rsidRPr="00F94AA8">
        <w:rPr>
          <w:rFonts w:cs="Times New Roman"/>
        </w:rPr>
        <w:t xml:space="preserve">49% </w:t>
      </w:r>
      <w:r w:rsidR="003B4B64">
        <w:rPr>
          <w:rFonts w:cs="Times New Roman"/>
        </w:rPr>
        <w:t xml:space="preserve">and 30% </w:t>
      </w:r>
      <w:r w:rsidR="00A73D66">
        <w:rPr>
          <w:rFonts w:cs="Times New Roman"/>
        </w:rPr>
        <w:t>(</w:t>
      </w:r>
      <w:r w:rsidR="003B4B64">
        <w:rPr>
          <w:rFonts w:cs="Times New Roman"/>
        </w:rPr>
        <w:t xml:space="preserve">or </w:t>
      </w:r>
      <w:r w:rsidR="00F94AA8" w:rsidRPr="00F94AA8">
        <w:rPr>
          <w:rFonts w:cs="Times New Roman"/>
        </w:rPr>
        <w:t>877/2,923</w:t>
      </w:r>
      <w:r w:rsidR="00A73D66">
        <w:rPr>
          <w:rFonts w:cs="Times New Roman"/>
        </w:rPr>
        <w:t xml:space="preserve"> MSMs) </w:t>
      </w:r>
      <w:r w:rsidR="003B4B64">
        <w:rPr>
          <w:rFonts w:cs="Times New Roman"/>
        </w:rPr>
        <w:t xml:space="preserve">respectively. Mortality figures show that </w:t>
      </w:r>
      <w:r w:rsidR="003B4B64">
        <w:rPr>
          <w:sz w:val="23"/>
          <w:szCs w:val="23"/>
        </w:rPr>
        <w:t>613 people with an HIV infection died in 2015 although not all of HIV or AIDS related c</w:t>
      </w:r>
      <w:r w:rsidR="00A73D66">
        <w:rPr>
          <w:sz w:val="23"/>
          <w:szCs w:val="23"/>
        </w:rPr>
        <w:t>onditions</w:t>
      </w:r>
      <w:r w:rsidR="004706B7">
        <w:rPr>
          <w:sz w:val="23"/>
          <w:szCs w:val="23"/>
        </w:rPr>
        <w:t xml:space="preserve"> [5]</w:t>
      </w:r>
      <w:r w:rsidR="003B4B64">
        <w:rPr>
          <w:sz w:val="23"/>
          <w:szCs w:val="23"/>
        </w:rPr>
        <w:t xml:space="preserve">. </w:t>
      </w:r>
    </w:p>
    <w:p w:rsidR="00E37D5D" w:rsidRDefault="00E37D5D" w:rsidP="00403F1D">
      <w:pPr>
        <w:autoSpaceDE w:val="0"/>
        <w:autoSpaceDN w:val="0"/>
        <w:adjustRightInd w:val="0"/>
        <w:spacing w:after="0" w:line="480" w:lineRule="auto"/>
        <w:ind w:firstLine="720"/>
        <w:rPr>
          <w:rFonts w:cs="Times New Roman"/>
        </w:rPr>
      </w:pPr>
      <w:r>
        <w:rPr>
          <w:rFonts w:cs="Times New Roman"/>
        </w:rPr>
        <w:t xml:space="preserve">The </w:t>
      </w:r>
      <w:r w:rsidRPr="00E93847">
        <w:rPr>
          <w:rFonts w:cs="Times New Roman"/>
        </w:rPr>
        <w:t>European Centre for</w:t>
      </w:r>
      <w:r>
        <w:rPr>
          <w:rFonts w:cs="Times New Roman"/>
        </w:rPr>
        <w:t xml:space="preserve"> Disease Prevention and Control/</w:t>
      </w:r>
      <w:r w:rsidRPr="00E93847">
        <w:rPr>
          <w:rFonts w:cs="Times New Roman"/>
        </w:rPr>
        <w:t>WHO Regional Office for Europe</w:t>
      </w:r>
      <w:r>
        <w:rPr>
          <w:rFonts w:cs="Times New Roman"/>
        </w:rPr>
        <w:t xml:space="preserve"> state that </w:t>
      </w:r>
      <w:r w:rsidR="004706B7">
        <w:rPr>
          <w:rFonts w:cs="Times New Roman"/>
        </w:rPr>
        <w:t xml:space="preserve">France had </w:t>
      </w:r>
      <w:r w:rsidR="004706B7" w:rsidRPr="00387386">
        <w:rPr>
          <w:rFonts w:cs="Times New Roman"/>
        </w:rPr>
        <w:t>4</w:t>
      </w:r>
      <w:r w:rsidR="004706B7">
        <w:rPr>
          <w:rFonts w:cs="Times New Roman"/>
        </w:rPr>
        <w:t>,</w:t>
      </w:r>
      <w:r w:rsidR="004706B7" w:rsidRPr="00387386">
        <w:rPr>
          <w:rFonts w:cs="Times New Roman"/>
        </w:rPr>
        <w:t xml:space="preserve">327 </w:t>
      </w:r>
      <w:r w:rsidR="00A73D66">
        <w:rPr>
          <w:rFonts w:cs="Times New Roman"/>
        </w:rPr>
        <w:t>(</w:t>
      </w:r>
      <w:r w:rsidR="00A73D66" w:rsidRPr="00387386">
        <w:rPr>
          <w:rFonts w:cs="Times New Roman"/>
        </w:rPr>
        <w:t>6.6</w:t>
      </w:r>
      <w:r w:rsidR="00A73D66">
        <w:rPr>
          <w:rFonts w:cs="Times New Roman"/>
        </w:rPr>
        <w:t xml:space="preserve">:100,000) </w:t>
      </w:r>
      <w:r w:rsidR="004706B7">
        <w:rPr>
          <w:rFonts w:cs="Times New Roman"/>
        </w:rPr>
        <w:t xml:space="preserve">new HIV diagnoses (second </w:t>
      </w:r>
      <w:r w:rsidR="00A73D66">
        <w:rPr>
          <w:rFonts w:cs="Times New Roman"/>
        </w:rPr>
        <w:t xml:space="preserve">only </w:t>
      </w:r>
      <w:r w:rsidR="004706B7">
        <w:rPr>
          <w:rFonts w:cs="Times New Roman"/>
        </w:rPr>
        <w:t>to the UK) in 2014</w:t>
      </w:r>
      <w:r w:rsidR="00A73D66">
        <w:rPr>
          <w:rFonts w:cs="Times New Roman"/>
        </w:rPr>
        <w:t xml:space="preserve"> </w:t>
      </w:r>
      <w:r w:rsidR="004706B7">
        <w:rPr>
          <w:rFonts w:cs="Times New Roman"/>
        </w:rPr>
        <w:t xml:space="preserve">meaning that they had </w:t>
      </w:r>
      <w:r w:rsidR="004706B7" w:rsidRPr="00387386">
        <w:rPr>
          <w:rFonts w:cs="Times New Roman"/>
        </w:rPr>
        <w:t>65</w:t>
      </w:r>
      <w:r w:rsidR="004706B7">
        <w:rPr>
          <w:rFonts w:cs="Times New Roman"/>
        </w:rPr>
        <w:t>,</w:t>
      </w:r>
      <w:r w:rsidR="004706B7" w:rsidRPr="00387386">
        <w:rPr>
          <w:rFonts w:cs="Times New Roman"/>
        </w:rPr>
        <w:t xml:space="preserve">929 </w:t>
      </w:r>
      <w:r w:rsidR="004706B7">
        <w:rPr>
          <w:rFonts w:cs="Times New Roman"/>
        </w:rPr>
        <w:t>people living with HIV in 2014 [1]</w:t>
      </w:r>
      <w:r>
        <w:rPr>
          <w:rFonts w:cs="Times New Roman"/>
        </w:rPr>
        <w:t xml:space="preserve">. This is </w:t>
      </w:r>
      <w:r w:rsidR="00387386">
        <w:rPr>
          <w:rFonts w:cs="Times New Roman"/>
        </w:rPr>
        <w:t xml:space="preserve">the </w:t>
      </w:r>
      <w:r w:rsidR="008F7328" w:rsidRPr="00387386">
        <w:rPr>
          <w:rFonts w:cs="Times New Roman"/>
        </w:rPr>
        <w:t xml:space="preserve">third </w:t>
      </w:r>
      <w:r w:rsidR="00702613" w:rsidRPr="00387386">
        <w:rPr>
          <w:rFonts w:cs="Times New Roman"/>
        </w:rPr>
        <w:t xml:space="preserve">highest number of </w:t>
      </w:r>
      <w:r w:rsidR="008F7328" w:rsidRPr="00387386">
        <w:rPr>
          <w:rFonts w:cs="Times New Roman"/>
        </w:rPr>
        <w:t xml:space="preserve">new AIDS </w:t>
      </w:r>
      <w:r w:rsidR="00702613" w:rsidRPr="00387386">
        <w:rPr>
          <w:rFonts w:cs="Times New Roman"/>
        </w:rPr>
        <w:t>diagnose</w:t>
      </w:r>
      <w:r w:rsidR="008F7328" w:rsidRPr="00387386">
        <w:rPr>
          <w:rFonts w:cs="Times New Roman"/>
        </w:rPr>
        <w:t>s</w:t>
      </w:r>
      <w:r w:rsidR="00702613" w:rsidRPr="00387386">
        <w:rPr>
          <w:rFonts w:cs="Times New Roman"/>
        </w:rPr>
        <w:t xml:space="preserve"> </w:t>
      </w:r>
      <w:r w:rsidR="008F7328" w:rsidRPr="00387386">
        <w:rPr>
          <w:rFonts w:cs="Times New Roman"/>
        </w:rPr>
        <w:t xml:space="preserve">in </w:t>
      </w:r>
      <w:r w:rsidR="00702613" w:rsidRPr="00387386">
        <w:rPr>
          <w:rFonts w:cs="Times New Roman"/>
        </w:rPr>
        <w:t>Western Europe</w:t>
      </w:r>
      <w:r w:rsidR="008F7328" w:rsidRPr="00387386">
        <w:rPr>
          <w:rFonts w:cs="Times New Roman"/>
        </w:rPr>
        <w:t xml:space="preserve"> (after Italy and Spain) </w:t>
      </w:r>
      <w:r w:rsidR="00702613" w:rsidRPr="00387386">
        <w:rPr>
          <w:rFonts w:cs="Times New Roman"/>
        </w:rPr>
        <w:t xml:space="preserve">with </w:t>
      </w:r>
      <w:r w:rsidR="008F7328" w:rsidRPr="00387386">
        <w:rPr>
          <w:rFonts w:cs="Times New Roman"/>
        </w:rPr>
        <w:t xml:space="preserve">405 new diagnoses in 2014 and a cumulative total of 65,929 cases between </w:t>
      </w:r>
      <w:r w:rsidR="00387386">
        <w:rPr>
          <w:rFonts w:cs="Times New Roman"/>
        </w:rPr>
        <w:t>1980 and 2014 [1]</w:t>
      </w:r>
      <w:r w:rsidR="00CC70C3">
        <w:rPr>
          <w:rFonts w:cs="Times New Roman"/>
        </w:rPr>
        <w:t>. F</w:t>
      </w:r>
      <w:r w:rsidR="00387386">
        <w:rPr>
          <w:rFonts w:cs="Times New Roman"/>
        </w:rPr>
        <w:t>rench government</w:t>
      </w:r>
      <w:r w:rsidR="00CC70C3">
        <w:rPr>
          <w:rFonts w:cs="Times New Roman"/>
        </w:rPr>
        <w:t xml:space="preserve"> statistics put </w:t>
      </w:r>
      <w:r w:rsidR="009D2E63">
        <w:rPr>
          <w:rFonts w:cs="Times New Roman"/>
        </w:rPr>
        <w:t>the figure</w:t>
      </w:r>
      <w:r>
        <w:rPr>
          <w:rFonts w:cs="Times New Roman"/>
        </w:rPr>
        <w:t xml:space="preserve"> higher</w:t>
      </w:r>
      <w:r w:rsidR="00387386" w:rsidRPr="004706B7">
        <w:rPr>
          <w:rFonts w:cs="Times New Roman"/>
        </w:rPr>
        <w:t xml:space="preserve"> </w:t>
      </w:r>
      <w:r w:rsidR="00741215" w:rsidRPr="004706B7">
        <w:rPr>
          <w:rFonts w:cs="Times New Roman"/>
        </w:rPr>
        <w:t>[</w:t>
      </w:r>
      <w:r w:rsidR="002403A1" w:rsidRPr="004706B7">
        <w:rPr>
          <w:rFonts w:cs="Times New Roman"/>
        </w:rPr>
        <w:t>6</w:t>
      </w:r>
      <w:r w:rsidR="00741215" w:rsidRPr="004706B7">
        <w:rPr>
          <w:rFonts w:cs="Times New Roman"/>
        </w:rPr>
        <w:t>]</w:t>
      </w:r>
      <w:r w:rsidR="00CC70C3">
        <w:rPr>
          <w:rFonts w:cs="Times New Roman"/>
        </w:rPr>
        <w:t xml:space="preserve"> and estimate that approximately 152,000 (range 135,000-170,000) people are living </w:t>
      </w:r>
      <w:r>
        <w:rPr>
          <w:rFonts w:cs="Times New Roman"/>
        </w:rPr>
        <w:t>with the virus</w:t>
      </w:r>
      <w:r w:rsidR="00CC70C3">
        <w:rPr>
          <w:rFonts w:cs="Times New Roman"/>
        </w:rPr>
        <w:t xml:space="preserve"> with mortality from AIDS remaining relatively constant at 1,700 per annum</w:t>
      </w:r>
      <w:r>
        <w:rPr>
          <w:rFonts w:cs="Times New Roman"/>
        </w:rPr>
        <w:t xml:space="preserve"> [7]. </w:t>
      </w:r>
    </w:p>
    <w:p w:rsidR="00403F1D" w:rsidRDefault="005C5E8C" w:rsidP="00403F1D">
      <w:pPr>
        <w:autoSpaceDE w:val="0"/>
        <w:autoSpaceDN w:val="0"/>
        <w:adjustRightInd w:val="0"/>
        <w:spacing w:after="0" w:line="480" w:lineRule="auto"/>
        <w:ind w:firstLine="720"/>
        <w:rPr>
          <w:rFonts w:cs="Times New Roman"/>
        </w:rPr>
      </w:pPr>
      <w:r>
        <w:rPr>
          <w:rFonts w:cs="Times New Roman"/>
        </w:rPr>
        <w:t xml:space="preserve">There </w:t>
      </w:r>
      <w:r w:rsidR="00702613" w:rsidRPr="00E26753">
        <w:rPr>
          <w:rFonts w:cs="Times New Roman"/>
        </w:rPr>
        <w:t xml:space="preserve">has been a progressive increase in the number of rapid tests conducted in France since the introduction of the 2010-2014 </w:t>
      </w:r>
      <w:r w:rsidR="0087288D" w:rsidRPr="00E26753">
        <w:rPr>
          <w:rFonts w:cs="Times New Roman"/>
        </w:rPr>
        <w:t>n</w:t>
      </w:r>
      <w:r w:rsidR="00702613" w:rsidRPr="00E26753">
        <w:rPr>
          <w:rFonts w:cs="Times New Roman"/>
        </w:rPr>
        <w:t>ational</w:t>
      </w:r>
      <w:r w:rsidR="0023549B" w:rsidRPr="00E26753">
        <w:rPr>
          <w:rFonts w:cs="Times New Roman"/>
        </w:rPr>
        <w:t xml:space="preserve"> </w:t>
      </w:r>
      <w:r w:rsidR="0087288D" w:rsidRPr="00E26753">
        <w:rPr>
          <w:rFonts w:cs="Times New Roman"/>
        </w:rPr>
        <w:t>p</w:t>
      </w:r>
      <w:r w:rsidR="00702613" w:rsidRPr="00E26753">
        <w:rPr>
          <w:rFonts w:cs="Times New Roman"/>
        </w:rPr>
        <w:t xml:space="preserve">lan for the </w:t>
      </w:r>
      <w:r w:rsidR="0087288D" w:rsidRPr="00E26753">
        <w:rPr>
          <w:rFonts w:cs="Times New Roman"/>
        </w:rPr>
        <w:t>p</w:t>
      </w:r>
      <w:r w:rsidR="00702613" w:rsidRPr="00E26753">
        <w:rPr>
          <w:rFonts w:cs="Times New Roman"/>
        </w:rPr>
        <w:t xml:space="preserve">revention of HIV/AIDS and </w:t>
      </w:r>
      <w:r w:rsidR="0087288D" w:rsidRPr="00E26753">
        <w:rPr>
          <w:rFonts w:cs="Times New Roman"/>
        </w:rPr>
        <w:t>sexually t</w:t>
      </w:r>
      <w:r w:rsidR="00702613" w:rsidRPr="00E26753">
        <w:rPr>
          <w:rFonts w:cs="Times New Roman"/>
        </w:rPr>
        <w:t xml:space="preserve">ransmitted </w:t>
      </w:r>
      <w:r w:rsidR="0023549B" w:rsidRPr="00E26753">
        <w:rPr>
          <w:rFonts w:cs="Times New Roman"/>
        </w:rPr>
        <w:t>i</w:t>
      </w:r>
      <w:r w:rsidR="00702613" w:rsidRPr="00E26753">
        <w:rPr>
          <w:rFonts w:cs="Times New Roman"/>
        </w:rPr>
        <w:t>nfections</w:t>
      </w:r>
      <w:r w:rsidR="004706B7">
        <w:rPr>
          <w:rFonts w:cs="Times New Roman"/>
        </w:rPr>
        <w:t xml:space="preserve"> which </w:t>
      </w:r>
      <w:r w:rsidRPr="00403F1D">
        <w:rPr>
          <w:rFonts w:cs="Times New Roman"/>
        </w:rPr>
        <w:t xml:space="preserve">resulted in </w:t>
      </w:r>
      <w:r w:rsidR="00702613" w:rsidRPr="00403F1D">
        <w:rPr>
          <w:rFonts w:cs="Times New Roman"/>
          <w:iCs/>
        </w:rPr>
        <w:t xml:space="preserve">61,600 rapid tests </w:t>
      </w:r>
      <w:r w:rsidRPr="00403F1D">
        <w:rPr>
          <w:rFonts w:cs="Times New Roman"/>
          <w:iCs/>
        </w:rPr>
        <w:t xml:space="preserve">being </w:t>
      </w:r>
      <w:r w:rsidR="00741215" w:rsidRPr="00403F1D">
        <w:rPr>
          <w:rFonts w:cs="Times New Roman"/>
          <w:iCs/>
        </w:rPr>
        <w:t>conducted in 2014 [</w:t>
      </w:r>
      <w:r w:rsidR="00CC70C3">
        <w:rPr>
          <w:rFonts w:cs="Times New Roman"/>
          <w:iCs/>
        </w:rPr>
        <w:t>8</w:t>
      </w:r>
      <w:r w:rsidR="00741215" w:rsidRPr="00403F1D">
        <w:rPr>
          <w:rFonts w:cs="Times New Roman"/>
          <w:iCs/>
        </w:rPr>
        <w:t>]</w:t>
      </w:r>
      <w:r w:rsidR="00403F1D">
        <w:rPr>
          <w:rFonts w:cs="Times New Roman"/>
          <w:iCs/>
        </w:rPr>
        <w:t xml:space="preserve">. It </w:t>
      </w:r>
      <w:r w:rsidRPr="00403F1D">
        <w:rPr>
          <w:rFonts w:cs="Times New Roman"/>
          <w:iCs/>
        </w:rPr>
        <w:t>is</w:t>
      </w:r>
      <w:r w:rsidR="00403F1D">
        <w:rPr>
          <w:rFonts w:cs="Times New Roman"/>
          <w:iCs/>
        </w:rPr>
        <w:t xml:space="preserve"> </w:t>
      </w:r>
      <w:r w:rsidRPr="00403F1D">
        <w:rPr>
          <w:rFonts w:cs="Times New Roman"/>
          <w:iCs/>
        </w:rPr>
        <w:t xml:space="preserve">estimated that </w:t>
      </w:r>
      <w:r w:rsidR="00EE7269" w:rsidRPr="00403F1D">
        <w:rPr>
          <w:rFonts w:cs="Times New Roman"/>
        </w:rPr>
        <w:t xml:space="preserve">20% of those </w:t>
      </w:r>
      <w:r w:rsidRPr="00403F1D">
        <w:rPr>
          <w:rFonts w:cs="Times New Roman"/>
        </w:rPr>
        <w:t xml:space="preserve">currently </w:t>
      </w:r>
      <w:r w:rsidR="00EE7269" w:rsidRPr="00403F1D">
        <w:rPr>
          <w:rFonts w:cs="Times New Roman"/>
        </w:rPr>
        <w:t xml:space="preserve">infected </w:t>
      </w:r>
      <w:r w:rsidRPr="00403F1D">
        <w:rPr>
          <w:rFonts w:cs="Times New Roman"/>
        </w:rPr>
        <w:t xml:space="preserve">with the virus </w:t>
      </w:r>
      <w:r w:rsidR="00EE7269" w:rsidRPr="00403F1D">
        <w:rPr>
          <w:rFonts w:cs="Times New Roman"/>
        </w:rPr>
        <w:t xml:space="preserve">do not know their status and are likely to </w:t>
      </w:r>
      <w:r w:rsidR="0010233F" w:rsidRPr="00403F1D">
        <w:rPr>
          <w:rFonts w:cs="Times New Roman"/>
        </w:rPr>
        <w:t xml:space="preserve">transmit </w:t>
      </w:r>
      <w:r w:rsidR="001175D5" w:rsidRPr="00403F1D">
        <w:rPr>
          <w:rFonts w:cs="Times New Roman"/>
        </w:rPr>
        <w:t xml:space="preserve">it </w:t>
      </w:r>
      <w:r w:rsidR="0010233F" w:rsidRPr="00403F1D">
        <w:rPr>
          <w:rFonts w:cs="Times New Roman"/>
        </w:rPr>
        <w:t xml:space="preserve">to </w:t>
      </w:r>
      <w:r w:rsidR="00EE7269" w:rsidRPr="00403F1D">
        <w:rPr>
          <w:rFonts w:cs="Times New Roman"/>
        </w:rPr>
        <w:t>others</w:t>
      </w:r>
      <w:r w:rsidR="00403F1D">
        <w:rPr>
          <w:rFonts w:cs="Times New Roman"/>
        </w:rPr>
        <w:t xml:space="preserve">, a </w:t>
      </w:r>
      <w:r w:rsidRPr="00403F1D">
        <w:rPr>
          <w:rFonts w:cs="Times New Roman"/>
        </w:rPr>
        <w:t xml:space="preserve">similar percentage to those </w:t>
      </w:r>
      <w:r w:rsidR="006261A2" w:rsidRPr="00403F1D">
        <w:rPr>
          <w:rFonts w:cs="Times New Roman"/>
        </w:rPr>
        <w:t xml:space="preserve">thought to be </w:t>
      </w:r>
      <w:r w:rsidRPr="00403F1D">
        <w:rPr>
          <w:rFonts w:cs="Times New Roman"/>
        </w:rPr>
        <w:t>undiagnosed in the UK</w:t>
      </w:r>
      <w:r w:rsidR="00741215" w:rsidRPr="00403F1D">
        <w:rPr>
          <w:rFonts w:cs="Times New Roman"/>
        </w:rPr>
        <w:t xml:space="preserve"> [</w:t>
      </w:r>
      <w:r w:rsidR="00CC70C3">
        <w:rPr>
          <w:rFonts w:cs="Times New Roman"/>
        </w:rPr>
        <w:t>9</w:t>
      </w:r>
      <w:r w:rsidR="00741215" w:rsidRPr="00403F1D">
        <w:rPr>
          <w:rFonts w:cs="Times New Roman"/>
        </w:rPr>
        <w:t>]</w:t>
      </w:r>
      <w:r w:rsidR="00EE7269" w:rsidRPr="00403F1D">
        <w:rPr>
          <w:rFonts w:cs="Times New Roman"/>
        </w:rPr>
        <w:t>.</w:t>
      </w:r>
      <w:r w:rsidR="00702613" w:rsidRPr="00E26753">
        <w:rPr>
          <w:rFonts w:cs="Times New Roman"/>
        </w:rPr>
        <w:t xml:space="preserve"> </w:t>
      </w:r>
    </w:p>
    <w:p w:rsidR="008F0BD0" w:rsidRPr="005C5E8C" w:rsidRDefault="005C5E8C" w:rsidP="00403F1D">
      <w:pPr>
        <w:autoSpaceDE w:val="0"/>
        <w:autoSpaceDN w:val="0"/>
        <w:adjustRightInd w:val="0"/>
        <w:spacing w:after="0" w:line="480" w:lineRule="auto"/>
        <w:ind w:firstLine="720"/>
        <w:rPr>
          <w:rFonts w:cs="Times New Roman"/>
          <w:sz w:val="6"/>
          <w:szCs w:val="6"/>
        </w:rPr>
      </w:pPr>
      <w:r>
        <w:rPr>
          <w:rFonts w:cs="Times New Roman"/>
        </w:rPr>
        <w:t xml:space="preserve">There is still no cure for </w:t>
      </w:r>
      <w:r w:rsidR="00960A3E" w:rsidRPr="00E26753">
        <w:rPr>
          <w:rFonts w:cs="Times New Roman"/>
        </w:rPr>
        <w:t>AIDS</w:t>
      </w:r>
      <w:r w:rsidR="00BE206B">
        <w:rPr>
          <w:rFonts w:cs="Times New Roman"/>
        </w:rPr>
        <w:t>,</w:t>
      </w:r>
      <w:r>
        <w:rPr>
          <w:rFonts w:cs="Times New Roman"/>
        </w:rPr>
        <w:t xml:space="preserve"> so </w:t>
      </w:r>
      <w:r w:rsidR="00960A3E" w:rsidRPr="00E26753">
        <w:rPr>
          <w:rFonts w:cs="Times New Roman"/>
        </w:rPr>
        <w:t>prevention, screening</w:t>
      </w:r>
      <w:r w:rsidR="00BE206B">
        <w:rPr>
          <w:rFonts w:cs="Times New Roman"/>
        </w:rPr>
        <w:t>,</w:t>
      </w:r>
      <w:r w:rsidR="00960A3E" w:rsidRPr="00E26753">
        <w:rPr>
          <w:rFonts w:cs="Times New Roman"/>
        </w:rPr>
        <w:t xml:space="preserve"> and early diagnosis are vital to control the onward transmission of the virus and </w:t>
      </w:r>
      <w:r w:rsidR="00BE206B">
        <w:rPr>
          <w:rFonts w:cs="Times New Roman"/>
        </w:rPr>
        <w:t xml:space="preserve">provide optimum treatment to </w:t>
      </w:r>
      <w:r>
        <w:rPr>
          <w:rFonts w:cs="Times New Roman"/>
        </w:rPr>
        <w:t xml:space="preserve">those affected </w:t>
      </w:r>
      <w:r w:rsidR="00741215">
        <w:rPr>
          <w:rFonts w:cs="Times New Roman"/>
        </w:rPr>
        <w:t>[</w:t>
      </w:r>
      <w:r w:rsidR="00CC70C3">
        <w:rPr>
          <w:rFonts w:cs="Times New Roman"/>
        </w:rPr>
        <w:t>10</w:t>
      </w:r>
      <w:r w:rsidR="00741215">
        <w:rPr>
          <w:rFonts w:cs="Times New Roman"/>
        </w:rPr>
        <w:t xml:space="preserve">, </w:t>
      </w:r>
      <w:r w:rsidR="00741215">
        <w:rPr>
          <w:rFonts w:cs="Times New Roman"/>
        </w:rPr>
        <w:lastRenderedPageBreak/>
        <w:t>1</w:t>
      </w:r>
      <w:r w:rsidR="00CC70C3">
        <w:rPr>
          <w:rFonts w:cs="Times New Roman"/>
        </w:rPr>
        <w:t>1</w:t>
      </w:r>
      <w:r w:rsidR="00741215">
        <w:rPr>
          <w:rFonts w:cs="Times New Roman"/>
        </w:rPr>
        <w:t>]</w:t>
      </w:r>
      <w:r w:rsidR="00960A3E" w:rsidRPr="00E26753">
        <w:rPr>
          <w:rFonts w:cs="Times New Roman"/>
        </w:rPr>
        <w:t xml:space="preserve">.  </w:t>
      </w:r>
      <w:r w:rsidR="00DD3BBF">
        <w:rPr>
          <w:rFonts w:cs="Times New Roman"/>
        </w:rPr>
        <w:t>Consequently, t</w:t>
      </w:r>
      <w:r w:rsidR="00875CCA" w:rsidRPr="00E26753">
        <w:rPr>
          <w:rFonts w:cs="Times New Roman"/>
        </w:rPr>
        <w:t xml:space="preserve">he </w:t>
      </w:r>
      <w:r w:rsidR="00A17AE9">
        <w:rPr>
          <w:rFonts w:cs="Times New Roman"/>
        </w:rPr>
        <w:t>5-year retrospective review of demographic and clinical dat</w:t>
      </w:r>
      <w:r w:rsidR="009259AA">
        <w:rPr>
          <w:rFonts w:cs="Times New Roman"/>
        </w:rPr>
        <w:t>a w</w:t>
      </w:r>
      <w:r w:rsidR="00DD3BBF">
        <w:rPr>
          <w:rFonts w:cs="Times New Roman"/>
        </w:rPr>
        <w:t xml:space="preserve">ould help to: </w:t>
      </w:r>
      <w:r w:rsidR="00A17AE9">
        <w:rPr>
          <w:rFonts w:cs="Times New Roman"/>
        </w:rPr>
        <w:t xml:space="preserve"> </w:t>
      </w:r>
      <w:r w:rsidR="0087288D" w:rsidRPr="00E26753">
        <w:rPr>
          <w:rFonts w:cs="Times New Roman"/>
        </w:rPr>
        <w:br/>
      </w:r>
    </w:p>
    <w:p w:rsidR="00DD3BBF" w:rsidRDefault="00BE206B" w:rsidP="00423CF0">
      <w:pPr>
        <w:pStyle w:val="ListParagraph"/>
        <w:numPr>
          <w:ilvl w:val="0"/>
          <w:numId w:val="1"/>
        </w:numPr>
        <w:spacing w:line="480" w:lineRule="auto"/>
        <w:rPr>
          <w:rFonts w:cs="Times New Roman"/>
        </w:rPr>
      </w:pPr>
      <w:r>
        <w:rPr>
          <w:rFonts w:cs="Times New Roman"/>
        </w:rPr>
        <w:t xml:space="preserve">identify why </w:t>
      </w:r>
      <w:r w:rsidR="00030740" w:rsidRPr="00E26753">
        <w:rPr>
          <w:rFonts w:cs="Times New Roman"/>
        </w:rPr>
        <w:t xml:space="preserve">individuals in both regions </w:t>
      </w:r>
      <w:r w:rsidR="00DD3BBF">
        <w:rPr>
          <w:rFonts w:cs="Times New Roman"/>
        </w:rPr>
        <w:t xml:space="preserve">had presented for an </w:t>
      </w:r>
      <w:r w:rsidR="00030740" w:rsidRPr="00E26753">
        <w:rPr>
          <w:rFonts w:cs="Times New Roman"/>
        </w:rPr>
        <w:t>HIV</w:t>
      </w:r>
      <w:r w:rsidR="00A17AE9">
        <w:rPr>
          <w:rFonts w:cs="Times New Roman"/>
        </w:rPr>
        <w:t xml:space="preserve"> </w:t>
      </w:r>
      <w:r w:rsidR="00DD3BBF">
        <w:rPr>
          <w:rFonts w:cs="Times New Roman"/>
        </w:rPr>
        <w:t>test;</w:t>
      </w:r>
    </w:p>
    <w:p w:rsidR="00030740" w:rsidRPr="00E26753" w:rsidRDefault="00DD3BBF" w:rsidP="00423CF0">
      <w:pPr>
        <w:pStyle w:val="ListParagraph"/>
        <w:numPr>
          <w:ilvl w:val="0"/>
          <w:numId w:val="1"/>
        </w:numPr>
        <w:spacing w:line="480" w:lineRule="auto"/>
        <w:rPr>
          <w:rFonts w:cs="Times New Roman"/>
        </w:rPr>
      </w:pPr>
      <w:r>
        <w:rPr>
          <w:rFonts w:cs="Times New Roman"/>
        </w:rPr>
        <w:t>identify any correlations between those who presented late and those who presented early</w:t>
      </w:r>
      <w:r w:rsidR="00766474">
        <w:rPr>
          <w:rFonts w:cs="Times New Roman"/>
        </w:rPr>
        <w:t>;</w:t>
      </w:r>
    </w:p>
    <w:p w:rsidR="005C5E8C" w:rsidRPr="00A17AE9" w:rsidRDefault="00DD3BBF" w:rsidP="00A17AE9">
      <w:pPr>
        <w:pStyle w:val="ListParagraph"/>
        <w:numPr>
          <w:ilvl w:val="0"/>
          <w:numId w:val="1"/>
        </w:numPr>
        <w:spacing w:line="480" w:lineRule="auto"/>
        <w:rPr>
          <w:rFonts w:cs="Times New Roman"/>
        </w:rPr>
      </w:pPr>
      <w:r>
        <w:rPr>
          <w:rFonts w:cs="Times New Roman"/>
        </w:rPr>
        <w:t xml:space="preserve">provide guidance on the </w:t>
      </w:r>
      <w:r w:rsidR="0087288D" w:rsidRPr="00BE206B">
        <w:rPr>
          <w:rFonts w:cs="Times New Roman"/>
        </w:rPr>
        <w:t>develop</w:t>
      </w:r>
      <w:r>
        <w:rPr>
          <w:rFonts w:cs="Times New Roman"/>
        </w:rPr>
        <w:t xml:space="preserve">ment of </w:t>
      </w:r>
      <w:r w:rsidR="0023549B" w:rsidRPr="00BE206B">
        <w:rPr>
          <w:rFonts w:cs="Times New Roman"/>
        </w:rPr>
        <w:t xml:space="preserve">interventions </w:t>
      </w:r>
      <w:r>
        <w:rPr>
          <w:rFonts w:cs="Times New Roman"/>
        </w:rPr>
        <w:t xml:space="preserve">intended to </w:t>
      </w:r>
      <w:r w:rsidR="0023549B" w:rsidRPr="00BE206B">
        <w:rPr>
          <w:rFonts w:cs="Times New Roman"/>
        </w:rPr>
        <w:t xml:space="preserve">increase </w:t>
      </w:r>
      <w:r w:rsidR="00BE206B" w:rsidRPr="00BE206B">
        <w:rPr>
          <w:rFonts w:cs="Times New Roman"/>
        </w:rPr>
        <w:t xml:space="preserve">HIV testing </w:t>
      </w:r>
      <w:r>
        <w:rPr>
          <w:rFonts w:cs="Times New Roman"/>
        </w:rPr>
        <w:t xml:space="preserve">in those at risk of infection and </w:t>
      </w:r>
      <w:r w:rsidR="00BE206B" w:rsidRPr="00BE206B">
        <w:rPr>
          <w:rFonts w:cs="Times New Roman"/>
        </w:rPr>
        <w:t xml:space="preserve">if possible, </w:t>
      </w:r>
      <w:r>
        <w:rPr>
          <w:rFonts w:cs="Times New Roman"/>
        </w:rPr>
        <w:t>t</w:t>
      </w:r>
      <w:r w:rsidR="0087288D" w:rsidRPr="00BE206B">
        <w:rPr>
          <w:rFonts w:cs="Times New Roman"/>
        </w:rPr>
        <w:t xml:space="preserve">he number of </w:t>
      </w:r>
      <w:r w:rsidR="008F0BD0" w:rsidRPr="00BE206B">
        <w:rPr>
          <w:rFonts w:cs="Times New Roman"/>
        </w:rPr>
        <w:t>earlier diagnos</w:t>
      </w:r>
      <w:r w:rsidR="00A17AE9">
        <w:rPr>
          <w:rFonts w:cs="Times New Roman"/>
        </w:rPr>
        <w:t>es</w:t>
      </w:r>
      <w:r w:rsidR="00766474">
        <w:rPr>
          <w:rFonts w:cs="Times New Roman"/>
        </w:rPr>
        <w:t xml:space="preserve"> in both regions</w:t>
      </w:r>
      <w:r w:rsidR="00A17AE9">
        <w:rPr>
          <w:rFonts w:cs="Times New Roman"/>
        </w:rPr>
        <w:t>.</w:t>
      </w:r>
    </w:p>
    <w:p w:rsidR="00312843" w:rsidRDefault="008F0BD0" w:rsidP="00253E98">
      <w:pPr>
        <w:spacing w:after="120" w:line="480" w:lineRule="auto"/>
        <w:rPr>
          <w:rFonts w:cs="Times New Roman"/>
        </w:rPr>
      </w:pPr>
      <w:r w:rsidRPr="00E26753">
        <w:rPr>
          <w:rFonts w:cs="Times New Roman"/>
          <w:b/>
        </w:rPr>
        <w:t>Methods</w:t>
      </w:r>
      <w:r w:rsidR="00423CF0" w:rsidRPr="00E26753">
        <w:rPr>
          <w:rFonts w:cs="Times New Roman"/>
        </w:rPr>
        <w:br/>
      </w:r>
      <w:r w:rsidR="002A2FA1">
        <w:rPr>
          <w:rFonts w:cs="Times New Roman"/>
        </w:rPr>
        <w:t xml:space="preserve">Retrospective </w:t>
      </w:r>
      <w:r w:rsidR="00766474">
        <w:rPr>
          <w:rFonts w:cs="Times New Roman"/>
        </w:rPr>
        <w:t xml:space="preserve">demographic and </w:t>
      </w:r>
      <w:r w:rsidR="002A2FA1">
        <w:rPr>
          <w:rFonts w:cs="Times New Roman"/>
        </w:rPr>
        <w:t>c</w:t>
      </w:r>
      <w:r w:rsidR="00754A65" w:rsidRPr="00E26753">
        <w:rPr>
          <w:rFonts w:cs="Times New Roman"/>
        </w:rPr>
        <w:t xml:space="preserve">linical data </w:t>
      </w:r>
      <w:r w:rsidR="002A2FA1">
        <w:rPr>
          <w:rFonts w:cs="Times New Roman"/>
        </w:rPr>
        <w:t xml:space="preserve">on </w:t>
      </w:r>
      <w:r w:rsidR="00D40226">
        <w:rPr>
          <w:rFonts w:cs="Times New Roman"/>
        </w:rPr>
        <w:t xml:space="preserve">every patient diagnosed with HIV </w:t>
      </w:r>
      <w:r w:rsidR="00D40226" w:rsidRPr="00E26753">
        <w:rPr>
          <w:rFonts w:cs="Times New Roman"/>
        </w:rPr>
        <w:t>(n=406</w:t>
      </w:r>
      <w:r w:rsidR="00766474">
        <w:rPr>
          <w:rFonts w:cs="Times New Roman"/>
        </w:rPr>
        <w:t xml:space="preserve">) </w:t>
      </w:r>
      <w:r w:rsidR="00D40226">
        <w:rPr>
          <w:rFonts w:cs="Times New Roman"/>
        </w:rPr>
        <w:t>in the preceding five years w</w:t>
      </w:r>
      <w:r w:rsidR="00E5743B">
        <w:rPr>
          <w:rFonts w:cs="Times New Roman"/>
        </w:rPr>
        <w:t xml:space="preserve">ere </w:t>
      </w:r>
      <w:r w:rsidR="00D40226">
        <w:rPr>
          <w:rFonts w:cs="Times New Roman"/>
        </w:rPr>
        <w:t>collected by clinicians and/or administrative staff in each study centre using a standardised data extraction sheet</w:t>
      </w:r>
      <w:r w:rsidR="00E5743B">
        <w:rPr>
          <w:rFonts w:cs="Times New Roman"/>
        </w:rPr>
        <w:t xml:space="preserve"> in Excel format. Th</w:t>
      </w:r>
      <w:r w:rsidR="00DD3BBF">
        <w:rPr>
          <w:rFonts w:cs="Times New Roman"/>
        </w:rPr>
        <w:t xml:space="preserve">e </w:t>
      </w:r>
      <w:r w:rsidR="00766474">
        <w:rPr>
          <w:rFonts w:cs="Times New Roman"/>
        </w:rPr>
        <w:t xml:space="preserve">sheet was </w:t>
      </w:r>
      <w:r w:rsidR="00D40226">
        <w:rPr>
          <w:rFonts w:cs="Times New Roman"/>
        </w:rPr>
        <w:t xml:space="preserve">developed </w:t>
      </w:r>
      <w:r w:rsidR="00766474">
        <w:rPr>
          <w:rFonts w:cs="Times New Roman"/>
        </w:rPr>
        <w:t xml:space="preserve">during </w:t>
      </w:r>
      <w:r w:rsidR="00E5743B">
        <w:rPr>
          <w:rFonts w:cs="Times New Roman"/>
        </w:rPr>
        <w:t xml:space="preserve">two </w:t>
      </w:r>
      <w:r w:rsidR="00D01B46">
        <w:rPr>
          <w:rFonts w:cs="Times New Roman"/>
        </w:rPr>
        <w:t xml:space="preserve">international </w:t>
      </w:r>
      <w:r w:rsidR="00D40226">
        <w:rPr>
          <w:rFonts w:cs="Times New Roman"/>
        </w:rPr>
        <w:t>clinical consensus meetings</w:t>
      </w:r>
      <w:r w:rsidR="00E5743B">
        <w:rPr>
          <w:rFonts w:cs="Times New Roman"/>
        </w:rPr>
        <w:t xml:space="preserve"> attended by a</w:t>
      </w:r>
      <w:r w:rsidR="00D40226">
        <w:rPr>
          <w:rFonts w:cs="Times New Roman"/>
        </w:rPr>
        <w:t>cademic</w:t>
      </w:r>
      <w:r w:rsidR="00E5743B">
        <w:rPr>
          <w:rFonts w:cs="Times New Roman"/>
        </w:rPr>
        <w:t xml:space="preserve">s, </w:t>
      </w:r>
      <w:r w:rsidR="00D40226">
        <w:rPr>
          <w:rFonts w:cs="Times New Roman"/>
        </w:rPr>
        <w:t>clinical experts</w:t>
      </w:r>
      <w:r w:rsidR="00766474">
        <w:rPr>
          <w:rFonts w:cs="Times New Roman"/>
        </w:rPr>
        <w:t xml:space="preserve"> in the fields of </w:t>
      </w:r>
      <w:r w:rsidR="00D40226">
        <w:rPr>
          <w:rFonts w:cs="Times New Roman"/>
        </w:rPr>
        <w:t>sexual health</w:t>
      </w:r>
      <w:r w:rsidR="00E5743B">
        <w:rPr>
          <w:rFonts w:cs="Times New Roman"/>
        </w:rPr>
        <w:t>, community/primary health</w:t>
      </w:r>
      <w:r w:rsidR="00766474">
        <w:rPr>
          <w:rFonts w:cs="Times New Roman"/>
        </w:rPr>
        <w:t xml:space="preserve">care, and </w:t>
      </w:r>
      <w:r w:rsidR="00D40226">
        <w:rPr>
          <w:rFonts w:cs="Times New Roman"/>
        </w:rPr>
        <w:t>public health</w:t>
      </w:r>
      <w:r w:rsidR="00766474">
        <w:rPr>
          <w:rFonts w:cs="Times New Roman"/>
        </w:rPr>
        <w:t xml:space="preserve">; </w:t>
      </w:r>
      <w:r w:rsidR="00277E43">
        <w:rPr>
          <w:rFonts w:cs="Times New Roman"/>
        </w:rPr>
        <w:t xml:space="preserve">including </w:t>
      </w:r>
      <w:r w:rsidR="00E5743B">
        <w:rPr>
          <w:rFonts w:cs="Times New Roman"/>
        </w:rPr>
        <w:t xml:space="preserve">representatives from HIV </w:t>
      </w:r>
      <w:r w:rsidR="00D40226">
        <w:rPr>
          <w:rFonts w:cs="Times New Roman"/>
        </w:rPr>
        <w:t>patient</w:t>
      </w:r>
      <w:r w:rsidR="00766474">
        <w:rPr>
          <w:rFonts w:cs="Times New Roman"/>
        </w:rPr>
        <w:t xml:space="preserve">/activist </w:t>
      </w:r>
      <w:r w:rsidR="00D40226">
        <w:rPr>
          <w:rFonts w:cs="Times New Roman"/>
        </w:rPr>
        <w:t>groups</w:t>
      </w:r>
      <w:r w:rsidR="002577CE">
        <w:rPr>
          <w:rFonts w:cs="Times New Roman"/>
        </w:rPr>
        <w:t xml:space="preserve"> </w:t>
      </w:r>
      <w:r w:rsidR="00766474">
        <w:rPr>
          <w:rFonts w:cs="Times New Roman"/>
        </w:rPr>
        <w:t>from both countries</w:t>
      </w:r>
      <w:r w:rsidR="00277E43">
        <w:rPr>
          <w:rFonts w:cs="Times New Roman"/>
        </w:rPr>
        <w:t xml:space="preserve"> (</w:t>
      </w:r>
      <w:r w:rsidR="00253E98">
        <w:rPr>
          <w:rFonts w:cs="Times New Roman"/>
        </w:rPr>
        <w:t>Figure 1)</w:t>
      </w:r>
      <w:r w:rsidR="00766474">
        <w:rPr>
          <w:rFonts w:cs="Times New Roman"/>
        </w:rPr>
        <w:t xml:space="preserve">. </w:t>
      </w:r>
      <w:r w:rsidR="0010209B" w:rsidRPr="0010209B">
        <w:rPr>
          <w:rFonts w:cs="Times New Roman"/>
        </w:rPr>
        <w:t>Pearson's chi-squared test (χ2)</w:t>
      </w:r>
      <w:r w:rsidR="0010209B">
        <w:rPr>
          <w:rFonts w:cs="Times New Roman"/>
        </w:rPr>
        <w:t xml:space="preserve"> </w:t>
      </w:r>
      <w:r w:rsidR="00B8794B">
        <w:rPr>
          <w:rFonts w:cs="Times New Roman"/>
        </w:rPr>
        <w:t xml:space="preserve">was undertaken to </w:t>
      </w:r>
      <w:r w:rsidR="003169F1">
        <w:rPr>
          <w:rFonts w:cs="Times New Roman"/>
        </w:rPr>
        <w:t>establish correlations between these variables</w:t>
      </w:r>
      <w:r w:rsidR="007432C8">
        <w:rPr>
          <w:rFonts w:cs="Times New Roman"/>
        </w:rPr>
        <w:t xml:space="preserve"> </w:t>
      </w:r>
      <w:r w:rsidR="00D01B46">
        <w:rPr>
          <w:rFonts w:cs="Times New Roman"/>
        </w:rPr>
        <w:t xml:space="preserve">for both countries data sets </w:t>
      </w:r>
      <w:r w:rsidR="007432C8">
        <w:rPr>
          <w:rFonts w:cs="Times New Roman"/>
        </w:rPr>
        <w:t xml:space="preserve">using </w:t>
      </w:r>
      <w:r w:rsidR="009A0A48">
        <w:rPr>
          <w:rFonts w:cs="Times New Roman"/>
        </w:rPr>
        <w:t xml:space="preserve">IBM </w:t>
      </w:r>
      <w:r w:rsidR="00754A65" w:rsidRPr="00E26753">
        <w:rPr>
          <w:rFonts w:cs="Times New Roman"/>
        </w:rPr>
        <w:t xml:space="preserve">SPSS </w:t>
      </w:r>
      <w:r w:rsidR="009A0A48">
        <w:rPr>
          <w:rFonts w:cs="Times New Roman"/>
        </w:rPr>
        <w:t>software package (version 23).</w:t>
      </w:r>
      <w:r w:rsidR="000169C6">
        <w:rPr>
          <w:rFonts w:cs="Times New Roman"/>
        </w:rPr>
        <w:t xml:space="preserve"> Data extraction sheets missing data in relation to one or more items were excluded from the analyses of those items.  </w:t>
      </w:r>
      <w:r w:rsidR="009A0A48">
        <w:rPr>
          <w:rFonts w:cs="Times New Roman"/>
        </w:rPr>
        <w:t xml:space="preserve"> </w:t>
      </w:r>
    </w:p>
    <w:p w:rsidR="00312843" w:rsidRDefault="00312843" w:rsidP="00312843">
      <w:pPr>
        <w:spacing w:after="0" w:line="360" w:lineRule="auto"/>
        <w:rPr>
          <w:rFonts w:cs="Times New Roman"/>
        </w:rPr>
      </w:pPr>
      <w:r>
        <w:rPr>
          <w:rFonts w:cs="Times New Roman"/>
        </w:rPr>
        <w:t xml:space="preserve">Figure 1: Variables included in the data extraction sheet for the review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12843" w:rsidTr="00312843">
        <w:trPr>
          <w:trHeight w:val="4358"/>
        </w:trPr>
        <w:tc>
          <w:tcPr>
            <w:tcW w:w="4508" w:type="dxa"/>
          </w:tcPr>
          <w:p w:rsidR="00312843" w:rsidRPr="00253E98" w:rsidRDefault="00312843" w:rsidP="00312843">
            <w:pPr>
              <w:pStyle w:val="ListParagraph"/>
              <w:rPr>
                <w:rFonts w:cs="Times New Roman"/>
                <w:sz w:val="8"/>
                <w:szCs w:val="8"/>
              </w:rPr>
            </w:pPr>
          </w:p>
          <w:p w:rsidR="00312843" w:rsidRDefault="00312843" w:rsidP="00312843">
            <w:pPr>
              <w:pStyle w:val="ListParagraph"/>
              <w:numPr>
                <w:ilvl w:val="0"/>
                <w:numId w:val="4"/>
              </w:numPr>
              <w:rPr>
                <w:rFonts w:cs="Times New Roman"/>
              </w:rPr>
            </w:pPr>
            <w:r>
              <w:rPr>
                <w:rFonts w:cs="Times New Roman"/>
              </w:rPr>
              <w:t xml:space="preserve">age </w:t>
            </w:r>
          </w:p>
          <w:p w:rsidR="00312843" w:rsidRDefault="00312843" w:rsidP="00312843">
            <w:pPr>
              <w:pStyle w:val="ListParagraph"/>
              <w:numPr>
                <w:ilvl w:val="0"/>
                <w:numId w:val="4"/>
              </w:numPr>
              <w:rPr>
                <w:rFonts w:cs="Times New Roman"/>
              </w:rPr>
            </w:pPr>
            <w:r w:rsidRPr="002577CE">
              <w:rPr>
                <w:rFonts w:cs="Times New Roman"/>
              </w:rPr>
              <w:t>sex</w:t>
            </w:r>
            <w:r>
              <w:rPr>
                <w:rFonts w:cs="Times New Roman"/>
              </w:rPr>
              <w:t xml:space="preserve"> (male/female)</w:t>
            </w:r>
          </w:p>
          <w:p w:rsidR="00312843" w:rsidRDefault="00312843" w:rsidP="00312843">
            <w:pPr>
              <w:pStyle w:val="ListParagraph"/>
              <w:numPr>
                <w:ilvl w:val="0"/>
                <w:numId w:val="4"/>
              </w:numPr>
              <w:rPr>
                <w:rFonts w:cs="Times New Roman"/>
              </w:rPr>
            </w:pPr>
            <w:r w:rsidRPr="002577CE">
              <w:rPr>
                <w:rFonts w:cs="Times New Roman"/>
              </w:rPr>
              <w:t>relationship status at the likely time of infection</w:t>
            </w:r>
            <w:r>
              <w:rPr>
                <w:rFonts w:cs="Times New Roman"/>
              </w:rPr>
              <w:t>/diagnosis</w:t>
            </w:r>
            <w:r w:rsidRPr="002577CE">
              <w:rPr>
                <w:rFonts w:cs="Times New Roman"/>
              </w:rPr>
              <w:t xml:space="preserve"> (married, single, civil partnership, cohabiting, separated, divorced, widowed)</w:t>
            </w:r>
          </w:p>
          <w:p w:rsidR="00312843" w:rsidRDefault="00312843" w:rsidP="00312843">
            <w:pPr>
              <w:pStyle w:val="ListParagraph"/>
              <w:numPr>
                <w:ilvl w:val="0"/>
                <w:numId w:val="4"/>
              </w:numPr>
              <w:rPr>
                <w:rFonts w:cs="Times New Roman"/>
              </w:rPr>
            </w:pPr>
            <w:r>
              <w:rPr>
                <w:rFonts w:cs="Times New Roman"/>
              </w:rPr>
              <w:t xml:space="preserve">generic postcode of the town/municipality in which the patient lived (to identify distances travelled between their home and place of testing)  </w:t>
            </w:r>
          </w:p>
          <w:p w:rsidR="00312843" w:rsidRDefault="00312843" w:rsidP="00312843">
            <w:pPr>
              <w:pStyle w:val="ListParagraph"/>
              <w:numPr>
                <w:ilvl w:val="0"/>
                <w:numId w:val="4"/>
              </w:numPr>
              <w:rPr>
                <w:rFonts w:cs="Times New Roman"/>
              </w:rPr>
            </w:pPr>
            <w:r>
              <w:rPr>
                <w:rFonts w:cs="Times New Roman"/>
              </w:rPr>
              <w:t>educational status (</w:t>
            </w:r>
            <w:r w:rsidRPr="002577CE">
              <w:rPr>
                <w:rFonts w:cs="Times New Roman"/>
              </w:rPr>
              <w:t>highest educational qualification</w:t>
            </w:r>
            <w:r>
              <w:rPr>
                <w:rFonts w:cs="Times New Roman"/>
              </w:rPr>
              <w:t>)</w:t>
            </w:r>
          </w:p>
          <w:p w:rsidR="00312843" w:rsidRDefault="00312843" w:rsidP="00312843">
            <w:pPr>
              <w:pStyle w:val="ListParagraph"/>
              <w:numPr>
                <w:ilvl w:val="0"/>
                <w:numId w:val="4"/>
              </w:numPr>
              <w:rPr>
                <w:rFonts w:cs="Times New Roman"/>
              </w:rPr>
            </w:pPr>
            <w:r>
              <w:rPr>
                <w:rFonts w:cs="Times New Roman"/>
              </w:rPr>
              <w:t>occupational status (working, not working, full-time, part-time, retired)</w:t>
            </w:r>
          </w:p>
          <w:p w:rsidR="00312843" w:rsidRDefault="00312843" w:rsidP="00312843">
            <w:pPr>
              <w:pStyle w:val="ListParagraph"/>
              <w:rPr>
                <w:rFonts w:cs="Times New Roman"/>
              </w:rPr>
            </w:pPr>
          </w:p>
        </w:tc>
        <w:tc>
          <w:tcPr>
            <w:tcW w:w="4508" w:type="dxa"/>
          </w:tcPr>
          <w:p w:rsidR="00312843" w:rsidRPr="00253E98" w:rsidRDefault="00312843" w:rsidP="00312843">
            <w:pPr>
              <w:pStyle w:val="ListParagraph"/>
              <w:rPr>
                <w:rFonts w:cs="Times New Roman"/>
                <w:sz w:val="8"/>
                <w:szCs w:val="8"/>
              </w:rPr>
            </w:pPr>
          </w:p>
          <w:p w:rsidR="00312843" w:rsidRDefault="00312843" w:rsidP="00312843">
            <w:pPr>
              <w:pStyle w:val="ListParagraph"/>
              <w:numPr>
                <w:ilvl w:val="0"/>
                <w:numId w:val="4"/>
              </w:numPr>
              <w:rPr>
                <w:rFonts w:cs="Times New Roman"/>
              </w:rPr>
            </w:pPr>
            <w:r w:rsidRPr="002577CE">
              <w:rPr>
                <w:rFonts w:cs="Times New Roman"/>
              </w:rPr>
              <w:t>current or most recent occupation</w:t>
            </w:r>
          </w:p>
          <w:p w:rsidR="00312843" w:rsidRDefault="00312843" w:rsidP="00312843">
            <w:pPr>
              <w:pStyle w:val="ListParagraph"/>
              <w:numPr>
                <w:ilvl w:val="0"/>
                <w:numId w:val="4"/>
              </w:numPr>
              <w:rPr>
                <w:rFonts w:cs="Times New Roman"/>
              </w:rPr>
            </w:pPr>
            <w:r w:rsidRPr="002577CE">
              <w:rPr>
                <w:rFonts w:cs="Times New Roman"/>
              </w:rPr>
              <w:t>e</w:t>
            </w:r>
            <w:r>
              <w:rPr>
                <w:rFonts w:cs="Times New Roman"/>
              </w:rPr>
              <w:t>thnic origin</w:t>
            </w:r>
          </w:p>
          <w:p w:rsidR="00312843" w:rsidRDefault="00312843" w:rsidP="00312843">
            <w:pPr>
              <w:pStyle w:val="ListParagraph"/>
              <w:numPr>
                <w:ilvl w:val="0"/>
                <w:numId w:val="4"/>
              </w:numPr>
              <w:rPr>
                <w:rFonts w:cs="Times New Roman"/>
              </w:rPr>
            </w:pPr>
            <w:r w:rsidRPr="002577CE">
              <w:rPr>
                <w:rFonts w:cs="Times New Roman"/>
              </w:rPr>
              <w:t>country or region of birth</w:t>
            </w:r>
          </w:p>
          <w:p w:rsidR="00312843" w:rsidRDefault="00312843" w:rsidP="00312843">
            <w:pPr>
              <w:pStyle w:val="ListParagraph"/>
              <w:numPr>
                <w:ilvl w:val="0"/>
                <w:numId w:val="4"/>
              </w:numPr>
              <w:rPr>
                <w:rFonts w:cs="Times New Roman"/>
              </w:rPr>
            </w:pPr>
            <w:r w:rsidRPr="002577CE">
              <w:rPr>
                <w:rFonts w:cs="Times New Roman"/>
              </w:rPr>
              <w:t>likely mode of transmission</w:t>
            </w:r>
            <w:r>
              <w:rPr>
                <w:rFonts w:cs="Times New Roman"/>
              </w:rPr>
              <w:t xml:space="preserve"> (MSM, heterosexual, IVDU or other)</w:t>
            </w:r>
          </w:p>
          <w:p w:rsidR="00312843" w:rsidRDefault="00312843" w:rsidP="00312843">
            <w:pPr>
              <w:pStyle w:val="ListParagraph"/>
              <w:numPr>
                <w:ilvl w:val="0"/>
                <w:numId w:val="4"/>
              </w:numPr>
              <w:rPr>
                <w:rFonts w:cs="Times New Roman"/>
              </w:rPr>
            </w:pPr>
            <w:r>
              <w:rPr>
                <w:rFonts w:cs="Times New Roman"/>
              </w:rPr>
              <w:t>date of first positive test</w:t>
            </w:r>
          </w:p>
          <w:p w:rsidR="00312843" w:rsidRDefault="00312843" w:rsidP="00312843">
            <w:pPr>
              <w:pStyle w:val="ListParagraph"/>
              <w:numPr>
                <w:ilvl w:val="0"/>
                <w:numId w:val="4"/>
              </w:numPr>
              <w:rPr>
                <w:rFonts w:cs="Times New Roman"/>
              </w:rPr>
            </w:pPr>
            <w:r>
              <w:rPr>
                <w:rFonts w:cs="Times New Roman"/>
              </w:rPr>
              <w:t>age when diagnosed HIV positive</w:t>
            </w:r>
          </w:p>
          <w:p w:rsidR="00312843" w:rsidRDefault="00312843" w:rsidP="00312843">
            <w:pPr>
              <w:pStyle w:val="ListParagraph"/>
              <w:numPr>
                <w:ilvl w:val="0"/>
                <w:numId w:val="4"/>
              </w:numPr>
              <w:rPr>
                <w:rFonts w:cs="Times New Roman"/>
              </w:rPr>
            </w:pPr>
            <w:r>
              <w:rPr>
                <w:rFonts w:cs="Times New Roman"/>
              </w:rPr>
              <w:t xml:space="preserve">CD4 count at diagnosis  </w:t>
            </w:r>
          </w:p>
          <w:p w:rsidR="00312843" w:rsidRDefault="00312843" w:rsidP="00312843">
            <w:pPr>
              <w:pStyle w:val="ListParagraph"/>
              <w:numPr>
                <w:ilvl w:val="0"/>
                <w:numId w:val="4"/>
              </w:numPr>
              <w:rPr>
                <w:rFonts w:cs="Times New Roman"/>
              </w:rPr>
            </w:pPr>
            <w:r>
              <w:rPr>
                <w:rFonts w:cs="Times New Roman"/>
              </w:rPr>
              <w:t xml:space="preserve">clinical circumstances/history </w:t>
            </w:r>
            <w:r w:rsidRPr="002577CE">
              <w:rPr>
                <w:rFonts w:cs="Times New Roman"/>
              </w:rPr>
              <w:t>leading to the test</w:t>
            </w:r>
          </w:p>
          <w:p w:rsidR="00312843" w:rsidRDefault="00312843" w:rsidP="00312843">
            <w:pPr>
              <w:pStyle w:val="ListParagraph"/>
              <w:numPr>
                <w:ilvl w:val="0"/>
                <w:numId w:val="4"/>
              </w:numPr>
              <w:rPr>
                <w:rFonts w:cs="Times New Roman"/>
              </w:rPr>
            </w:pPr>
            <w:r>
              <w:rPr>
                <w:rFonts w:cs="Times New Roman"/>
              </w:rPr>
              <w:t>number of previous tests (if known)</w:t>
            </w:r>
          </w:p>
          <w:p w:rsidR="00312843" w:rsidRDefault="00312843" w:rsidP="00312843">
            <w:pPr>
              <w:pStyle w:val="ListParagraph"/>
              <w:numPr>
                <w:ilvl w:val="0"/>
                <w:numId w:val="4"/>
              </w:numPr>
              <w:rPr>
                <w:rFonts w:cs="Times New Roman"/>
              </w:rPr>
            </w:pPr>
            <w:r>
              <w:rPr>
                <w:rFonts w:cs="Times New Roman"/>
              </w:rPr>
              <w:t>HIV/AIDS related signs and symptoms noted at the time of the positive test</w:t>
            </w:r>
          </w:p>
          <w:p w:rsidR="00312843" w:rsidRPr="00253E98" w:rsidRDefault="00312843" w:rsidP="00312843">
            <w:pPr>
              <w:pStyle w:val="ListParagraph"/>
              <w:numPr>
                <w:ilvl w:val="0"/>
                <w:numId w:val="4"/>
              </w:numPr>
              <w:rPr>
                <w:rFonts w:cs="Times New Roman"/>
                <w:sz w:val="4"/>
                <w:szCs w:val="4"/>
              </w:rPr>
            </w:pPr>
            <w:r>
              <w:rPr>
                <w:rFonts w:cs="Times New Roman"/>
              </w:rPr>
              <w:t xml:space="preserve">non-HIV/AIDS related comorbidities noted at the time of the positive test.  </w:t>
            </w:r>
          </w:p>
        </w:tc>
      </w:tr>
    </w:tbl>
    <w:p w:rsidR="00754A65" w:rsidRDefault="00754A65" w:rsidP="00253E98">
      <w:pPr>
        <w:spacing w:after="120" w:line="480" w:lineRule="auto"/>
        <w:rPr>
          <w:rFonts w:cs="Times New Roman"/>
        </w:rPr>
      </w:pPr>
      <w:r w:rsidRPr="00E26753">
        <w:rPr>
          <w:rFonts w:cs="Times New Roman"/>
        </w:rPr>
        <w:t xml:space="preserve">  </w:t>
      </w:r>
    </w:p>
    <w:p w:rsidR="00312843" w:rsidRDefault="00312843" w:rsidP="00312843">
      <w:pPr>
        <w:spacing w:after="0" w:line="480" w:lineRule="auto"/>
        <w:rPr>
          <w:rFonts w:cs="Times New Roman"/>
          <w:i/>
        </w:rPr>
      </w:pPr>
      <w:r w:rsidRPr="00E26753">
        <w:rPr>
          <w:rFonts w:cs="Times New Roman"/>
          <w:b/>
        </w:rPr>
        <w:lastRenderedPageBreak/>
        <w:t xml:space="preserve">Results </w:t>
      </w:r>
      <w:r w:rsidRPr="00E26753">
        <w:rPr>
          <w:rFonts w:cs="Times New Roman"/>
        </w:rPr>
        <w:br/>
      </w:r>
      <w:r w:rsidRPr="009259AA">
        <w:rPr>
          <w:rFonts w:cs="Times New Roman"/>
          <w:b/>
          <w:i/>
        </w:rPr>
        <w:t>Ove</w:t>
      </w:r>
      <w:r>
        <w:rPr>
          <w:rFonts w:cs="Times New Roman"/>
          <w:b/>
          <w:i/>
        </w:rPr>
        <w:t>rall Results</w:t>
      </w:r>
    </w:p>
    <w:p w:rsidR="00312843" w:rsidRDefault="00312843" w:rsidP="00312843">
      <w:pPr>
        <w:spacing w:line="480" w:lineRule="auto"/>
        <w:rPr>
          <w:rFonts w:cs="Times New Roman"/>
        </w:rPr>
      </w:pPr>
      <w:r w:rsidRPr="00E26753">
        <w:rPr>
          <w:rFonts w:cs="Times New Roman"/>
        </w:rPr>
        <w:t xml:space="preserve">The </w:t>
      </w:r>
      <w:r>
        <w:rPr>
          <w:rFonts w:cs="Times New Roman"/>
        </w:rPr>
        <w:t xml:space="preserve">data </w:t>
      </w:r>
      <w:r w:rsidRPr="00E26753">
        <w:rPr>
          <w:rFonts w:cs="Times New Roman"/>
        </w:rPr>
        <w:t>showed that late diagnosis of HIV co</w:t>
      </w:r>
      <w:r>
        <w:rPr>
          <w:rFonts w:cs="Times New Roman"/>
        </w:rPr>
        <w:t>ntinued to be a problem in both regions. A</w:t>
      </w:r>
      <w:r w:rsidRPr="00E26753">
        <w:rPr>
          <w:rFonts w:cs="Times New Roman"/>
        </w:rPr>
        <w:t>lthough the incidence of late diagnosis was slightly lower in France</w:t>
      </w:r>
      <w:r>
        <w:rPr>
          <w:rFonts w:cs="Times New Roman"/>
        </w:rPr>
        <w:t xml:space="preserve"> (39.67% compared to 41.24%)</w:t>
      </w:r>
      <w:r w:rsidRPr="00E26753">
        <w:rPr>
          <w:rFonts w:cs="Times New Roman"/>
        </w:rPr>
        <w:t xml:space="preserve"> </w:t>
      </w:r>
      <w:r>
        <w:rPr>
          <w:rFonts w:cs="Times New Roman"/>
        </w:rPr>
        <w:t>t</w:t>
      </w:r>
      <w:r w:rsidRPr="00E26753">
        <w:rPr>
          <w:rFonts w:cs="Times New Roman"/>
        </w:rPr>
        <w:t xml:space="preserve">he difference was not statistically significant.  </w:t>
      </w:r>
      <w:r>
        <w:rPr>
          <w:rFonts w:cs="Times New Roman"/>
        </w:rPr>
        <w:t xml:space="preserve">The data showed that </w:t>
      </w:r>
      <w:r w:rsidRPr="00E26753">
        <w:rPr>
          <w:rFonts w:cs="Times New Roman"/>
        </w:rPr>
        <w:t>HIV is no respecter of age in either country, the oldest patient being 81 years</w:t>
      </w:r>
      <w:r>
        <w:rPr>
          <w:rFonts w:cs="Times New Roman"/>
        </w:rPr>
        <w:t xml:space="preserve"> old when diagnosed </w:t>
      </w:r>
      <w:r w:rsidRPr="00E26753">
        <w:rPr>
          <w:rFonts w:cs="Times New Roman"/>
        </w:rPr>
        <w:t>in the UK</w:t>
      </w:r>
      <w:r>
        <w:rPr>
          <w:rFonts w:cs="Times New Roman"/>
        </w:rPr>
        <w:t xml:space="preserve"> (range19-81) </w:t>
      </w:r>
      <w:r w:rsidRPr="00E26753">
        <w:rPr>
          <w:rFonts w:cs="Times New Roman"/>
        </w:rPr>
        <w:t xml:space="preserve">and 71 years </w:t>
      </w:r>
      <w:r>
        <w:rPr>
          <w:rFonts w:cs="Times New Roman"/>
        </w:rPr>
        <w:t xml:space="preserve">(range 17-71) </w:t>
      </w:r>
      <w:r w:rsidRPr="00E26753">
        <w:rPr>
          <w:rFonts w:cs="Times New Roman"/>
        </w:rPr>
        <w:t>in France.  The mean age of diagnosis was lower in France</w:t>
      </w:r>
      <w:r>
        <w:rPr>
          <w:rFonts w:cs="Times New Roman"/>
        </w:rPr>
        <w:t xml:space="preserve"> </w:t>
      </w:r>
      <w:r w:rsidRPr="00E26753">
        <w:rPr>
          <w:rFonts w:cs="Times New Roman"/>
        </w:rPr>
        <w:t>than the UK</w:t>
      </w:r>
      <w:r>
        <w:rPr>
          <w:rFonts w:cs="Times New Roman"/>
        </w:rPr>
        <w:t xml:space="preserve"> at 37 years</w:t>
      </w:r>
      <w:r w:rsidRPr="00E26753">
        <w:rPr>
          <w:rFonts w:cs="Times New Roman"/>
        </w:rPr>
        <w:t xml:space="preserve"> </w:t>
      </w:r>
      <w:r w:rsidRPr="00CC70C3">
        <w:rPr>
          <w:rFonts w:cs="Times New Roman"/>
        </w:rPr>
        <w:t>(independent t = 3.66 p=0.0003) compared to 40 years (independent t = 2.89 p&lt;0.005),</w:t>
      </w:r>
      <w:r w:rsidRPr="00E26753">
        <w:rPr>
          <w:rFonts w:cs="Times New Roman"/>
        </w:rPr>
        <w:t xml:space="preserve"> although older patients were more likely to be diagnosed late</w:t>
      </w:r>
      <w:r>
        <w:rPr>
          <w:rFonts w:cs="Times New Roman"/>
        </w:rPr>
        <w:t xml:space="preserve"> in both countries</w:t>
      </w:r>
      <w:r w:rsidRPr="00E26753">
        <w:rPr>
          <w:rFonts w:cs="Times New Roman"/>
        </w:rPr>
        <w:t xml:space="preserve">. </w:t>
      </w:r>
      <w:r>
        <w:rPr>
          <w:rFonts w:cs="Times New Roman"/>
        </w:rPr>
        <w:t xml:space="preserve">One hundred and fifty-five (38.2%) of the combined </w:t>
      </w:r>
      <w:r w:rsidRPr="00E26753">
        <w:rPr>
          <w:rFonts w:cs="Times New Roman"/>
        </w:rPr>
        <w:t>UK/French sample were women. This is consistent with commonly cited gender differences in HIV infection reported in the literature</w:t>
      </w:r>
      <w:r>
        <w:rPr>
          <w:rFonts w:cs="Times New Roman"/>
        </w:rPr>
        <w:t xml:space="preserve"> [11]</w:t>
      </w:r>
      <w:r w:rsidRPr="00E26753">
        <w:rPr>
          <w:rFonts w:cs="Times New Roman"/>
        </w:rPr>
        <w:t xml:space="preserve">.  </w:t>
      </w:r>
      <w:r>
        <w:rPr>
          <w:rFonts w:cs="Times New Roman"/>
        </w:rPr>
        <w:t>W</w:t>
      </w:r>
      <w:r w:rsidRPr="00E26753">
        <w:rPr>
          <w:rFonts w:cs="Times New Roman"/>
        </w:rPr>
        <w:t xml:space="preserve">omen </w:t>
      </w:r>
      <w:r>
        <w:rPr>
          <w:rFonts w:cs="Times New Roman"/>
        </w:rPr>
        <w:t xml:space="preserve">were diagnosed later </w:t>
      </w:r>
      <w:r w:rsidRPr="00E26753">
        <w:rPr>
          <w:rFonts w:cs="Times New Roman"/>
        </w:rPr>
        <w:t>than men</w:t>
      </w:r>
      <w:r>
        <w:rPr>
          <w:rFonts w:cs="Times New Roman"/>
        </w:rPr>
        <w:t xml:space="preserve"> in both countries, though France fared much better in this respect than the UK, with women representing </w:t>
      </w:r>
      <w:r w:rsidRPr="00E26753">
        <w:rPr>
          <w:rFonts w:cs="Times New Roman"/>
        </w:rPr>
        <w:t xml:space="preserve">53.3% of late diagnoses in </w:t>
      </w:r>
      <w:r>
        <w:rPr>
          <w:rFonts w:cs="Times New Roman"/>
        </w:rPr>
        <w:t xml:space="preserve">Amiens and Creil </w:t>
      </w:r>
      <w:r w:rsidRPr="00E26753">
        <w:rPr>
          <w:rFonts w:cs="Times New Roman"/>
        </w:rPr>
        <w:t xml:space="preserve">and 67.9% of late diagnoses in </w:t>
      </w:r>
      <w:r>
        <w:rPr>
          <w:rFonts w:cs="Times New Roman"/>
        </w:rPr>
        <w:t xml:space="preserve">Kent and Medway. </w:t>
      </w:r>
      <w:r w:rsidRPr="00E26753">
        <w:rPr>
          <w:rFonts w:cs="Times New Roman"/>
        </w:rPr>
        <w:t xml:space="preserve"> </w:t>
      </w:r>
    </w:p>
    <w:p w:rsidR="00312843" w:rsidRDefault="00312843" w:rsidP="00312843">
      <w:pPr>
        <w:spacing w:line="480" w:lineRule="auto"/>
        <w:rPr>
          <w:rFonts w:cs="Times New Roman"/>
        </w:rPr>
      </w:pPr>
      <w:r>
        <w:rPr>
          <w:rFonts w:cs="Times New Roman"/>
        </w:rPr>
        <w:t>The s</w:t>
      </w:r>
      <w:r w:rsidRPr="00E26753">
        <w:rPr>
          <w:rFonts w:cs="Times New Roman"/>
        </w:rPr>
        <w:t>amples in both countries were ethnically diverse</w:t>
      </w:r>
      <w:r>
        <w:rPr>
          <w:rFonts w:cs="Times New Roman"/>
        </w:rPr>
        <w:t xml:space="preserve"> (Table 1). Forty-four percent o</w:t>
      </w:r>
      <w:r w:rsidRPr="00E26753">
        <w:rPr>
          <w:rFonts w:cs="Times New Roman"/>
        </w:rPr>
        <w:t xml:space="preserve">f the UK sample and 51.5% of the French sample </w:t>
      </w:r>
      <w:r>
        <w:rPr>
          <w:rFonts w:cs="Times New Roman"/>
        </w:rPr>
        <w:t xml:space="preserve">were </w:t>
      </w:r>
      <w:r w:rsidRPr="00E26753">
        <w:rPr>
          <w:rFonts w:cs="Times New Roman"/>
        </w:rPr>
        <w:t xml:space="preserve">born outside their respective countries.  Whilst HIV infection was higher in MSMs, it is clear that late diagnosis is more common in those not perceived to be at </w:t>
      </w:r>
      <w:r>
        <w:rPr>
          <w:rFonts w:cs="Times New Roman"/>
        </w:rPr>
        <w:t xml:space="preserve">‘high’ </w:t>
      </w:r>
      <w:r w:rsidRPr="00E26753">
        <w:rPr>
          <w:rFonts w:cs="Times New Roman"/>
        </w:rPr>
        <w:t>risk such as heterosexuals, and in particular</w:t>
      </w:r>
      <w:r>
        <w:rPr>
          <w:rFonts w:cs="Times New Roman"/>
        </w:rPr>
        <w:t xml:space="preserve"> older heterosexuals. The l</w:t>
      </w:r>
      <w:r w:rsidRPr="00E26753">
        <w:rPr>
          <w:rFonts w:cs="Times New Roman"/>
        </w:rPr>
        <w:t xml:space="preserve">evel of education, occupational status, location of first test, and </w:t>
      </w:r>
      <w:r>
        <w:rPr>
          <w:rFonts w:cs="Times New Roman"/>
        </w:rPr>
        <w:t xml:space="preserve">presence of non-HIV/AIDS related </w:t>
      </w:r>
      <w:r w:rsidRPr="00E26753">
        <w:rPr>
          <w:rFonts w:cs="Times New Roman"/>
        </w:rPr>
        <w:t>co-morbidit</w:t>
      </w:r>
      <w:r>
        <w:rPr>
          <w:rFonts w:cs="Times New Roman"/>
        </w:rPr>
        <w:t xml:space="preserve">ies </w:t>
      </w:r>
      <w:r w:rsidRPr="00E26753">
        <w:rPr>
          <w:rFonts w:cs="Times New Roman"/>
        </w:rPr>
        <w:t xml:space="preserve">were not statistically significant factors </w:t>
      </w:r>
      <w:r>
        <w:rPr>
          <w:rFonts w:cs="Times New Roman"/>
        </w:rPr>
        <w:t xml:space="preserve">leading to </w:t>
      </w:r>
      <w:r w:rsidRPr="00E26753">
        <w:rPr>
          <w:rFonts w:cs="Times New Roman"/>
        </w:rPr>
        <w:t>late diagnosis in either country.</w:t>
      </w:r>
      <w:r>
        <w:rPr>
          <w:rFonts w:cs="Times New Roman"/>
        </w:rPr>
        <w:t xml:space="preserve"> </w:t>
      </w:r>
    </w:p>
    <w:p w:rsidR="00312843" w:rsidRDefault="00312843" w:rsidP="00312843">
      <w:pPr>
        <w:spacing w:after="0" w:line="480" w:lineRule="auto"/>
        <w:rPr>
          <w:rFonts w:cs="Times New Roman"/>
        </w:rPr>
      </w:pPr>
      <w:r>
        <w:rPr>
          <w:rFonts w:cs="Times New Roman"/>
        </w:rPr>
        <w:t xml:space="preserve">Data from Kent and Medway showed that late diagnosis </w:t>
      </w:r>
      <w:r w:rsidRPr="005B4EF1">
        <w:rPr>
          <w:rFonts w:cs="Times New Roman"/>
        </w:rPr>
        <w:t xml:space="preserve">of HIV infection is </w:t>
      </w:r>
      <w:r>
        <w:rPr>
          <w:rFonts w:cs="Times New Roman"/>
        </w:rPr>
        <w:t>greater than the national average. Of the 240 British p</w:t>
      </w:r>
      <w:r w:rsidRPr="005B4EF1">
        <w:rPr>
          <w:rFonts w:cs="Times New Roman"/>
        </w:rPr>
        <w:t>atient</w:t>
      </w:r>
      <w:r>
        <w:rPr>
          <w:rFonts w:cs="Times New Roman"/>
        </w:rPr>
        <w:t xml:space="preserve"> records analysed for the study, 145 </w:t>
      </w:r>
      <w:r w:rsidRPr="005B4EF1">
        <w:rPr>
          <w:rFonts w:cs="Times New Roman"/>
        </w:rPr>
        <w:t>(</w:t>
      </w:r>
      <w:r>
        <w:rPr>
          <w:rFonts w:cs="Times New Roman"/>
        </w:rPr>
        <w:t>60.4</w:t>
      </w:r>
      <w:r w:rsidRPr="005B4EF1">
        <w:rPr>
          <w:rFonts w:cs="Times New Roman"/>
        </w:rPr>
        <w:t xml:space="preserve">%) had CD4 counts on diagnosis of 350 or less, and </w:t>
      </w:r>
      <w:r>
        <w:rPr>
          <w:rFonts w:cs="Times New Roman"/>
        </w:rPr>
        <w:t>95</w:t>
      </w:r>
      <w:r w:rsidRPr="005B4EF1">
        <w:rPr>
          <w:rFonts w:cs="Times New Roman"/>
        </w:rPr>
        <w:t xml:space="preserve"> (</w:t>
      </w:r>
      <w:r>
        <w:rPr>
          <w:rFonts w:cs="Times New Roman"/>
        </w:rPr>
        <w:t>39.6</w:t>
      </w:r>
      <w:r w:rsidRPr="005B4EF1">
        <w:rPr>
          <w:rFonts w:cs="Times New Roman"/>
        </w:rPr>
        <w:t>%) had CD4 counts o</w:t>
      </w:r>
      <w:r>
        <w:rPr>
          <w:rFonts w:cs="Times New Roman"/>
        </w:rPr>
        <w:t xml:space="preserve">f 351 or more. Sixty-seven percent (n=162) of the UK </w:t>
      </w:r>
      <w:r w:rsidRPr="005B4EF1">
        <w:rPr>
          <w:rFonts w:cs="Times New Roman"/>
        </w:rPr>
        <w:t xml:space="preserve">sample </w:t>
      </w:r>
      <w:r>
        <w:rPr>
          <w:rFonts w:cs="Times New Roman"/>
        </w:rPr>
        <w:t xml:space="preserve">were </w:t>
      </w:r>
      <w:r w:rsidRPr="005B4EF1">
        <w:rPr>
          <w:rFonts w:cs="Times New Roman"/>
        </w:rPr>
        <w:t>men, but no gender difference is apparent in levels of late diagnosis</w:t>
      </w:r>
      <w:r>
        <w:rPr>
          <w:rFonts w:cs="Times New Roman"/>
        </w:rPr>
        <w:t xml:space="preserve"> (Table 2)</w:t>
      </w:r>
      <w:r w:rsidRPr="005B4EF1">
        <w:rPr>
          <w:rFonts w:cs="Times New Roman"/>
        </w:rPr>
        <w:t>.</w:t>
      </w:r>
    </w:p>
    <w:p w:rsidR="00E90113" w:rsidRPr="00E90113" w:rsidRDefault="00E90113" w:rsidP="00101AE7">
      <w:pPr>
        <w:spacing w:after="0" w:line="480" w:lineRule="auto"/>
        <w:rPr>
          <w:rFonts w:cs="Times New Roman"/>
          <w:b/>
        </w:rPr>
      </w:pPr>
      <w:r w:rsidRPr="00E90113">
        <w:rPr>
          <w:rFonts w:cs="Times New Roman"/>
          <w:b/>
        </w:rPr>
        <w:lastRenderedPageBreak/>
        <w:t>Table 1.  Place of birth of patients with an early/late diagnosis in the UK and France.*</w:t>
      </w:r>
    </w:p>
    <w:tbl>
      <w:tblPr>
        <w:tblW w:w="8907" w:type="dxa"/>
        <w:jc w:val="center"/>
        <w:tblLook w:val="04A0" w:firstRow="1" w:lastRow="0" w:firstColumn="1" w:lastColumn="0" w:noHBand="0" w:noVBand="1"/>
      </w:tblPr>
      <w:tblGrid>
        <w:gridCol w:w="931"/>
        <w:gridCol w:w="1123"/>
        <w:gridCol w:w="1363"/>
        <w:gridCol w:w="1683"/>
        <w:gridCol w:w="1681"/>
        <w:gridCol w:w="2126"/>
      </w:tblGrid>
      <w:tr w:rsidR="00E90113" w:rsidRPr="00E26753" w:rsidTr="00E77872">
        <w:trPr>
          <w:trHeight w:val="525"/>
          <w:jc w:val="center"/>
        </w:trPr>
        <w:tc>
          <w:tcPr>
            <w:tcW w:w="934" w:type="dxa"/>
            <w:tcBorders>
              <w:top w:val="single" w:sz="4" w:space="0" w:color="auto"/>
              <w:bottom w:val="single" w:sz="4" w:space="0" w:color="auto"/>
            </w:tcBorders>
            <w:shd w:val="clear" w:color="auto" w:fill="auto"/>
            <w:vAlign w:val="center"/>
          </w:tcPr>
          <w:p w:rsidR="00E90113" w:rsidRPr="00E26753" w:rsidRDefault="00E90113" w:rsidP="00E77872">
            <w:pPr>
              <w:rPr>
                <w:rFonts w:cs="Arial"/>
                <w:b/>
                <w:i/>
                <w:color w:val="000000"/>
              </w:rPr>
            </w:pPr>
          </w:p>
        </w:tc>
        <w:tc>
          <w:tcPr>
            <w:tcW w:w="1134" w:type="dxa"/>
            <w:tcBorders>
              <w:top w:val="single" w:sz="4" w:space="0" w:color="auto"/>
              <w:bottom w:val="single" w:sz="4" w:space="0" w:color="auto"/>
            </w:tcBorders>
            <w:shd w:val="clear" w:color="auto" w:fill="auto"/>
            <w:vAlign w:val="center"/>
          </w:tcPr>
          <w:p w:rsidR="00E90113" w:rsidRPr="00E26753" w:rsidRDefault="00E90113" w:rsidP="00E77872">
            <w:pPr>
              <w:autoSpaceDE w:val="0"/>
              <w:autoSpaceDN w:val="0"/>
              <w:adjustRightInd w:val="0"/>
              <w:ind w:left="60" w:right="60"/>
              <w:rPr>
                <w:rFonts w:cs="Arial"/>
                <w:color w:val="000000"/>
              </w:rPr>
            </w:pPr>
          </w:p>
        </w:tc>
        <w:tc>
          <w:tcPr>
            <w:tcW w:w="1275" w:type="dxa"/>
            <w:tcBorders>
              <w:top w:val="single" w:sz="4" w:space="0" w:color="auto"/>
              <w:bottom w:val="single" w:sz="4" w:space="0" w:color="auto"/>
            </w:tcBorders>
            <w:shd w:val="clear" w:color="auto" w:fill="auto"/>
            <w:vAlign w:val="center"/>
          </w:tcPr>
          <w:p w:rsidR="00E90113" w:rsidRPr="00E26753" w:rsidRDefault="00E90113" w:rsidP="00E77872">
            <w:pPr>
              <w:autoSpaceDE w:val="0"/>
              <w:autoSpaceDN w:val="0"/>
              <w:adjustRightInd w:val="0"/>
              <w:ind w:left="60" w:right="60"/>
              <w:rPr>
                <w:rFonts w:cs="Arial"/>
                <w:color w:val="000000"/>
              </w:rPr>
            </w:pPr>
          </w:p>
        </w:tc>
        <w:tc>
          <w:tcPr>
            <w:tcW w:w="1701" w:type="dxa"/>
            <w:tcBorders>
              <w:top w:val="single" w:sz="4" w:space="0" w:color="auto"/>
              <w:bottom w:val="single" w:sz="4" w:space="0" w:color="auto"/>
            </w:tcBorders>
            <w:shd w:val="clear" w:color="auto" w:fill="auto"/>
            <w:vAlign w:val="center"/>
          </w:tcPr>
          <w:p w:rsidR="00E90113" w:rsidRPr="00E26753" w:rsidRDefault="00E90113" w:rsidP="00E77872">
            <w:pPr>
              <w:autoSpaceDE w:val="0"/>
              <w:autoSpaceDN w:val="0"/>
              <w:adjustRightInd w:val="0"/>
              <w:spacing w:after="0"/>
              <w:ind w:left="60" w:right="60"/>
              <w:jc w:val="right"/>
              <w:rPr>
                <w:rFonts w:cs="Arial"/>
                <w:b/>
                <w:color w:val="000000"/>
              </w:rPr>
            </w:pPr>
            <w:r w:rsidRPr="00E26753">
              <w:rPr>
                <w:rFonts w:cs="Arial"/>
                <w:b/>
                <w:color w:val="000000"/>
              </w:rPr>
              <w:t>CD4 count ≤350mm³</w:t>
            </w:r>
          </w:p>
        </w:tc>
        <w:tc>
          <w:tcPr>
            <w:tcW w:w="1699" w:type="dxa"/>
            <w:tcBorders>
              <w:top w:val="single" w:sz="4" w:space="0" w:color="auto"/>
              <w:bottom w:val="single" w:sz="4" w:space="0" w:color="auto"/>
            </w:tcBorders>
            <w:shd w:val="clear" w:color="auto" w:fill="auto"/>
            <w:vAlign w:val="center"/>
          </w:tcPr>
          <w:p w:rsidR="00E90113" w:rsidRPr="00E26753" w:rsidRDefault="00E90113" w:rsidP="00E77872">
            <w:pPr>
              <w:autoSpaceDE w:val="0"/>
              <w:autoSpaceDN w:val="0"/>
              <w:adjustRightInd w:val="0"/>
              <w:spacing w:after="0"/>
              <w:ind w:left="60" w:right="60"/>
              <w:jc w:val="right"/>
              <w:rPr>
                <w:rFonts w:cs="Arial"/>
                <w:b/>
                <w:color w:val="000000"/>
              </w:rPr>
            </w:pPr>
            <w:r w:rsidRPr="00E26753">
              <w:rPr>
                <w:rFonts w:cs="Arial"/>
                <w:b/>
                <w:color w:val="000000"/>
              </w:rPr>
              <w:t>CD4 count &gt;350mm³</w:t>
            </w:r>
          </w:p>
        </w:tc>
        <w:tc>
          <w:tcPr>
            <w:tcW w:w="2164" w:type="dxa"/>
            <w:tcBorders>
              <w:top w:val="single" w:sz="4" w:space="0" w:color="auto"/>
              <w:bottom w:val="single" w:sz="4" w:space="0" w:color="auto"/>
            </w:tcBorders>
            <w:shd w:val="clear" w:color="auto" w:fill="auto"/>
            <w:vAlign w:val="center"/>
          </w:tcPr>
          <w:p w:rsidR="00E90113" w:rsidRPr="00E26753" w:rsidRDefault="00E90113" w:rsidP="00E77872">
            <w:pPr>
              <w:autoSpaceDE w:val="0"/>
              <w:autoSpaceDN w:val="0"/>
              <w:adjustRightInd w:val="0"/>
              <w:spacing w:after="0"/>
              <w:ind w:left="60" w:right="60"/>
              <w:jc w:val="right"/>
              <w:rPr>
                <w:rFonts w:cs="Arial"/>
                <w:b/>
                <w:color w:val="000000"/>
              </w:rPr>
            </w:pPr>
            <w:r w:rsidRPr="00E26753">
              <w:rPr>
                <w:rFonts w:cs="Arial"/>
                <w:b/>
                <w:color w:val="000000"/>
              </w:rPr>
              <w:t>Number and percent</w:t>
            </w:r>
          </w:p>
        </w:tc>
      </w:tr>
      <w:tr w:rsidR="00E90113" w:rsidRPr="00E26753" w:rsidTr="00E77872">
        <w:trPr>
          <w:trHeight w:val="116"/>
          <w:jc w:val="center"/>
        </w:trPr>
        <w:tc>
          <w:tcPr>
            <w:tcW w:w="934" w:type="dxa"/>
            <w:vMerge w:val="restart"/>
            <w:tcBorders>
              <w:top w:val="single" w:sz="4" w:space="0" w:color="auto"/>
            </w:tcBorders>
            <w:shd w:val="clear" w:color="auto" w:fill="auto"/>
          </w:tcPr>
          <w:p w:rsidR="00E90113" w:rsidRPr="00E26753" w:rsidRDefault="00E90113" w:rsidP="00E77872">
            <w:pPr>
              <w:spacing w:before="40" w:after="40"/>
              <w:rPr>
                <w:b/>
              </w:rPr>
            </w:pPr>
            <w:r>
              <w:rPr>
                <w:rFonts w:cs="Arial"/>
                <w:b/>
                <w:color w:val="000000"/>
              </w:rPr>
              <w:t xml:space="preserve">UK </w:t>
            </w:r>
          </w:p>
        </w:tc>
        <w:tc>
          <w:tcPr>
            <w:tcW w:w="1134" w:type="dxa"/>
            <w:vMerge w:val="restart"/>
            <w:tcBorders>
              <w:top w:val="single" w:sz="4" w:space="0" w:color="auto"/>
            </w:tcBorders>
            <w:shd w:val="clear" w:color="auto" w:fill="auto"/>
          </w:tcPr>
          <w:p w:rsidR="00E90113" w:rsidRPr="00E26753" w:rsidRDefault="00E90113" w:rsidP="00E77872">
            <w:pPr>
              <w:spacing w:before="40" w:after="40"/>
              <w:rPr>
                <w:b/>
              </w:rPr>
            </w:pPr>
            <w:r w:rsidRPr="00E26753">
              <w:rPr>
                <w:rFonts w:cs="Arial"/>
                <w:b/>
                <w:color w:val="000000"/>
              </w:rPr>
              <w:t>UK born</w:t>
            </w:r>
          </w:p>
        </w:tc>
        <w:tc>
          <w:tcPr>
            <w:tcW w:w="1275"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rPr>
                <w:rFonts w:cs="Arial"/>
                <w:color w:val="000000"/>
              </w:rPr>
            </w:pPr>
            <w:r w:rsidRPr="00E26753">
              <w:rPr>
                <w:rFonts w:cs="Arial"/>
                <w:color w:val="000000"/>
              </w:rPr>
              <w:t>Number</w:t>
            </w:r>
          </w:p>
        </w:tc>
        <w:tc>
          <w:tcPr>
            <w:tcW w:w="1701"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71</w:t>
            </w:r>
          </w:p>
        </w:tc>
        <w:tc>
          <w:tcPr>
            <w:tcW w:w="1699"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62</w:t>
            </w:r>
          </w:p>
        </w:tc>
        <w:tc>
          <w:tcPr>
            <w:tcW w:w="2164"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133 (55.65%)</w:t>
            </w:r>
          </w:p>
        </w:tc>
      </w:tr>
      <w:tr w:rsidR="00E90113" w:rsidRPr="00E26753" w:rsidTr="00E77872">
        <w:trPr>
          <w:trHeight w:val="116"/>
          <w:jc w:val="center"/>
        </w:trPr>
        <w:tc>
          <w:tcPr>
            <w:tcW w:w="934" w:type="dxa"/>
            <w:vMerge/>
            <w:shd w:val="clear" w:color="auto" w:fill="auto"/>
          </w:tcPr>
          <w:p w:rsidR="00E90113" w:rsidRPr="00E26753" w:rsidRDefault="00E90113" w:rsidP="00E77872">
            <w:pPr>
              <w:spacing w:before="40" w:after="40"/>
              <w:rPr>
                <w:b/>
              </w:rPr>
            </w:pPr>
          </w:p>
        </w:tc>
        <w:tc>
          <w:tcPr>
            <w:tcW w:w="1134" w:type="dxa"/>
            <w:vMerge/>
            <w:shd w:val="clear" w:color="auto" w:fill="auto"/>
          </w:tcPr>
          <w:p w:rsidR="00E90113" w:rsidRPr="00E26753" w:rsidRDefault="00E90113" w:rsidP="00E77872">
            <w:pPr>
              <w:spacing w:before="40" w:after="40"/>
              <w:rPr>
                <w:b/>
              </w:rPr>
            </w:pPr>
          </w:p>
        </w:tc>
        <w:tc>
          <w:tcPr>
            <w:tcW w:w="1275" w:type="dxa"/>
            <w:shd w:val="clear" w:color="auto" w:fill="auto"/>
            <w:vAlign w:val="center"/>
          </w:tcPr>
          <w:p w:rsidR="00E90113" w:rsidRPr="00E26753" w:rsidRDefault="00E90113" w:rsidP="00E77872">
            <w:pPr>
              <w:autoSpaceDE w:val="0"/>
              <w:autoSpaceDN w:val="0"/>
              <w:adjustRightInd w:val="0"/>
              <w:spacing w:before="40" w:after="40"/>
              <w:ind w:left="60" w:right="60"/>
              <w:rPr>
                <w:rFonts w:cs="Arial"/>
                <w:color w:val="000000"/>
              </w:rPr>
            </w:pPr>
            <w:r w:rsidRPr="00E26753">
              <w:rPr>
                <w:rFonts w:cs="Arial"/>
                <w:color w:val="000000"/>
              </w:rPr>
              <w:t>Percentage</w:t>
            </w:r>
          </w:p>
        </w:tc>
        <w:tc>
          <w:tcPr>
            <w:tcW w:w="1701" w:type="dxa"/>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53.4%</w:t>
            </w:r>
          </w:p>
        </w:tc>
        <w:tc>
          <w:tcPr>
            <w:tcW w:w="1699" w:type="dxa"/>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46.6%</w:t>
            </w:r>
          </w:p>
        </w:tc>
        <w:tc>
          <w:tcPr>
            <w:tcW w:w="2164" w:type="dxa"/>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100.00%</w:t>
            </w:r>
          </w:p>
        </w:tc>
      </w:tr>
      <w:tr w:rsidR="00E90113" w:rsidRPr="00E26753" w:rsidTr="00E77872">
        <w:trPr>
          <w:trHeight w:val="116"/>
          <w:jc w:val="center"/>
        </w:trPr>
        <w:tc>
          <w:tcPr>
            <w:tcW w:w="934" w:type="dxa"/>
            <w:vMerge/>
            <w:shd w:val="clear" w:color="auto" w:fill="auto"/>
          </w:tcPr>
          <w:p w:rsidR="00E90113" w:rsidRPr="00E26753" w:rsidRDefault="00E90113" w:rsidP="00E77872">
            <w:pPr>
              <w:spacing w:before="40" w:after="40"/>
              <w:rPr>
                <w:b/>
              </w:rPr>
            </w:pPr>
          </w:p>
        </w:tc>
        <w:tc>
          <w:tcPr>
            <w:tcW w:w="1134" w:type="dxa"/>
            <w:vMerge w:val="restart"/>
            <w:shd w:val="clear" w:color="auto" w:fill="auto"/>
          </w:tcPr>
          <w:p w:rsidR="00E90113" w:rsidRPr="00E26753" w:rsidRDefault="00E90113" w:rsidP="00E77872">
            <w:pPr>
              <w:spacing w:before="40" w:after="40"/>
              <w:rPr>
                <w:b/>
              </w:rPr>
            </w:pPr>
            <w:r w:rsidRPr="00E26753">
              <w:rPr>
                <w:rFonts w:cs="Arial"/>
                <w:b/>
                <w:color w:val="000000"/>
              </w:rPr>
              <w:t>Rest of world</w:t>
            </w:r>
          </w:p>
        </w:tc>
        <w:tc>
          <w:tcPr>
            <w:tcW w:w="1275" w:type="dxa"/>
            <w:shd w:val="clear" w:color="auto" w:fill="auto"/>
            <w:vAlign w:val="center"/>
          </w:tcPr>
          <w:p w:rsidR="00E90113" w:rsidRPr="00E26753" w:rsidRDefault="00E90113" w:rsidP="00E77872">
            <w:pPr>
              <w:autoSpaceDE w:val="0"/>
              <w:autoSpaceDN w:val="0"/>
              <w:adjustRightInd w:val="0"/>
              <w:spacing w:before="40" w:after="40"/>
              <w:ind w:left="60" w:right="60"/>
              <w:rPr>
                <w:rFonts w:cs="Arial"/>
                <w:color w:val="000000"/>
              </w:rPr>
            </w:pPr>
            <w:r w:rsidRPr="00E26753">
              <w:rPr>
                <w:rFonts w:cs="Arial"/>
                <w:color w:val="000000"/>
              </w:rPr>
              <w:t>Number</w:t>
            </w:r>
          </w:p>
        </w:tc>
        <w:tc>
          <w:tcPr>
            <w:tcW w:w="1701" w:type="dxa"/>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74</w:t>
            </w:r>
          </w:p>
        </w:tc>
        <w:tc>
          <w:tcPr>
            <w:tcW w:w="1699" w:type="dxa"/>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32</w:t>
            </w:r>
          </w:p>
        </w:tc>
        <w:tc>
          <w:tcPr>
            <w:tcW w:w="2164" w:type="dxa"/>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106 (44.35%)</w:t>
            </w:r>
          </w:p>
        </w:tc>
      </w:tr>
      <w:tr w:rsidR="00E90113" w:rsidRPr="00E26753" w:rsidTr="00E77872">
        <w:trPr>
          <w:trHeight w:val="116"/>
          <w:jc w:val="center"/>
        </w:trPr>
        <w:tc>
          <w:tcPr>
            <w:tcW w:w="934" w:type="dxa"/>
            <w:vMerge/>
            <w:shd w:val="clear" w:color="auto" w:fill="auto"/>
          </w:tcPr>
          <w:p w:rsidR="00E90113" w:rsidRPr="00E26753" w:rsidRDefault="00E90113" w:rsidP="00E77872">
            <w:pPr>
              <w:spacing w:before="40" w:after="40"/>
              <w:rPr>
                <w:b/>
              </w:rPr>
            </w:pPr>
          </w:p>
        </w:tc>
        <w:tc>
          <w:tcPr>
            <w:tcW w:w="1134" w:type="dxa"/>
            <w:vMerge/>
            <w:tcBorders>
              <w:bottom w:val="single" w:sz="4" w:space="0" w:color="auto"/>
            </w:tcBorders>
            <w:shd w:val="clear" w:color="auto" w:fill="auto"/>
          </w:tcPr>
          <w:p w:rsidR="00E90113" w:rsidRPr="00E26753" w:rsidRDefault="00E90113" w:rsidP="00E77872">
            <w:pPr>
              <w:spacing w:before="40" w:after="40"/>
              <w:rPr>
                <w:b/>
              </w:rPr>
            </w:pPr>
          </w:p>
        </w:tc>
        <w:tc>
          <w:tcPr>
            <w:tcW w:w="1275"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rPr>
                <w:rFonts w:cs="Arial"/>
                <w:color w:val="000000"/>
              </w:rPr>
            </w:pPr>
            <w:r w:rsidRPr="00E26753">
              <w:rPr>
                <w:rFonts w:cs="Arial"/>
                <w:color w:val="000000"/>
              </w:rPr>
              <w:t>Percentage</w:t>
            </w:r>
          </w:p>
        </w:tc>
        <w:tc>
          <w:tcPr>
            <w:tcW w:w="1701"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69.8%</w:t>
            </w:r>
          </w:p>
        </w:tc>
        <w:tc>
          <w:tcPr>
            <w:tcW w:w="1699"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30.2%</w:t>
            </w:r>
          </w:p>
        </w:tc>
        <w:tc>
          <w:tcPr>
            <w:tcW w:w="2164"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color w:val="000000"/>
              </w:rPr>
            </w:pPr>
            <w:r w:rsidRPr="00E26753">
              <w:rPr>
                <w:rFonts w:cs="Arial"/>
                <w:color w:val="000000"/>
              </w:rPr>
              <w:t>100.0%</w:t>
            </w:r>
          </w:p>
        </w:tc>
      </w:tr>
      <w:tr w:rsidR="00E90113" w:rsidRPr="00E26753" w:rsidTr="00E77872">
        <w:trPr>
          <w:trHeight w:val="116"/>
          <w:jc w:val="center"/>
        </w:trPr>
        <w:tc>
          <w:tcPr>
            <w:tcW w:w="934" w:type="dxa"/>
            <w:vMerge/>
            <w:shd w:val="clear" w:color="auto" w:fill="auto"/>
          </w:tcPr>
          <w:p w:rsidR="00E90113" w:rsidRPr="00E26753" w:rsidRDefault="00E90113" w:rsidP="00E77872">
            <w:pPr>
              <w:spacing w:before="40" w:after="40"/>
              <w:rPr>
                <w:b/>
              </w:rPr>
            </w:pPr>
          </w:p>
        </w:tc>
        <w:tc>
          <w:tcPr>
            <w:tcW w:w="1134" w:type="dxa"/>
            <w:vMerge w:val="restart"/>
            <w:tcBorders>
              <w:top w:val="single" w:sz="4" w:space="0" w:color="auto"/>
            </w:tcBorders>
            <w:shd w:val="clear" w:color="auto" w:fill="auto"/>
          </w:tcPr>
          <w:p w:rsidR="00E90113" w:rsidRPr="00E26753" w:rsidRDefault="00E90113" w:rsidP="00E77872">
            <w:pPr>
              <w:spacing w:before="40" w:after="40"/>
              <w:rPr>
                <w:b/>
              </w:rPr>
            </w:pPr>
            <w:r>
              <w:rPr>
                <w:rFonts w:cs="Arial"/>
                <w:b/>
                <w:color w:val="000000"/>
              </w:rPr>
              <w:t>Total</w:t>
            </w:r>
          </w:p>
        </w:tc>
        <w:tc>
          <w:tcPr>
            <w:tcW w:w="1275"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rPr>
                <w:rFonts w:cs="Arial"/>
                <w:b/>
                <w:color w:val="000000"/>
              </w:rPr>
            </w:pPr>
            <w:r w:rsidRPr="00E26753">
              <w:rPr>
                <w:rFonts w:cs="Arial"/>
                <w:b/>
                <w:color w:val="000000"/>
              </w:rPr>
              <w:t>Number</w:t>
            </w:r>
          </w:p>
        </w:tc>
        <w:tc>
          <w:tcPr>
            <w:tcW w:w="1701"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145</w:t>
            </w:r>
          </w:p>
        </w:tc>
        <w:tc>
          <w:tcPr>
            <w:tcW w:w="1699"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94</w:t>
            </w:r>
          </w:p>
        </w:tc>
        <w:tc>
          <w:tcPr>
            <w:tcW w:w="2164"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239</w:t>
            </w:r>
          </w:p>
        </w:tc>
      </w:tr>
      <w:tr w:rsidR="00E90113" w:rsidRPr="00E26753" w:rsidTr="00E77872">
        <w:trPr>
          <w:trHeight w:val="116"/>
          <w:jc w:val="center"/>
        </w:trPr>
        <w:tc>
          <w:tcPr>
            <w:tcW w:w="934" w:type="dxa"/>
            <w:vMerge/>
            <w:tcBorders>
              <w:bottom w:val="single" w:sz="4" w:space="0" w:color="auto"/>
            </w:tcBorders>
            <w:shd w:val="clear" w:color="auto" w:fill="auto"/>
          </w:tcPr>
          <w:p w:rsidR="00E90113" w:rsidRPr="00E26753" w:rsidRDefault="00E90113" w:rsidP="00E77872">
            <w:pPr>
              <w:spacing w:before="40" w:after="40"/>
              <w:jc w:val="center"/>
              <w:rPr>
                <w:b/>
              </w:rPr>
            </w:pPr>
          </w:p>
        </w:tc>
        <w:tc>
          <w:tcPr>
            <w:tcW w:w="1134" w:type="dxa"/>
            <w:vMerge/>
            <w:tcBorders>
              <w:bottom w:val="single" w:sz="4" w:space="0" w:color="auto"/>
            </w:tcBorders>
            <w:shd w:val="clear" w:color="auto" w:fill="auto"/>
          </w:tcPr>
          <w:p w:rsidR="00E90113" w:rsidRPr="00E26753" w:rsidRDefault="00E90113" w:rsidP="00E77872">
            <w:pPr>
              <w:spacing w:before="40" w:after="40"/>
              <w:jc w:val="center"/>
              <w:rPr>
                <w:b/>
              </w:rPr>
            </w:pPr>
          </w:p>
        </w:tc>
        <w:tc>
          <w:tcPr>
            <w:tcW w:w="1275"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rPr>
                <w:rFonts w:cs="Arial"/>
                <w:b/>
                <w:color w:val="000000"/>
              </w:rPr>
            </w:pPr>
            <w:r w:rsidRPr="00E26753">
              <w:rPr>
                <w:rFonts w:cs="Arial"/>
                <w:b/>
                <w:color w:val="000000"/>
              </w:rPr>
              <w:t>Percentage</w:t>
            </w:r>
          </w:p>
        </w:tc>
        <w:tc>
          <w:tcPr>
            <w:tcW w:w="1701"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60.7%</w:t>
            </w:r>
          </w:p>
        </w:tc>
        <w:tc>
          <w:tcPr>
            <w:tcW w:w="1699"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39.3%</w:t>
            </w:r>
          </w:p>
        </w:tc>
        <w:tc>
          <w:tcPr>
            <w:tcW w:w="2164"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100.0%</w:t>
            </w:r>
          </w:p>
        </w:tc>
      </w:tr>
      <w:tr w:rsidR="00E90113" w:rsidRPr="00E26753" w:rsidTr="00E77872">
        <w:trPr>
          <w:trHeight w:val="116"/>
          <w:jc w:val="center"/>
        </w:trPr>
        <w:tc>
          <w:tcPr>
            <w:tcW w:w="934" w:type="dxa"/>
            <w:vMerge w:val="restart"/>
            <w:tcBorders>
              <w:top w:val="single" w:sz="4" w:space="0" w:color="auto"/>
              <w:bottom w:val="single" w:sz="4" w:space="0" w:color="auto"/>
            </w:tcBorders>
            <w:shd w:val="clear" w:color="auto" w:fill="auto"/>
          </w:tcPr>
          <w:p w:rsidR="00E90113" w:rsidRPr="00E26753" w:rsidRDefault="00E90113" w:rsidP="00E77872">
            <w:pPr>
              <w:spacing w:before="40" w:after="40"/>
              <w:rPr>
                <w:b/>
              </w:rPr>
            </w:pPr>
            <w:r w:rsidRPr="00E26753">
              <w:rPr>
                <w:b/>
              </w:rPr>
              <w:t xml:space="preserve">France </w:t>
            </w:r>
          </w:p>
        </w:tc>
        <w:tc>
          <w:tcPr>
            <w:tcW w:w="1134" w:type="dxa"/>
            <w:vMerge w:val="restart"/>
            <w:tcBorders>
              <w:top w:val="single" w:sz="4" w:space="0" w:color="auto"/>
            </w:tcBorders>
            <w:shd w:val="clear" w:color="auto" w:fill="auto"/>
          </w:tcPr>
          <w:p w:rsidR="00E90113" w:rsidRPr="00E26753" w:rsidRDefault="00E90113" w:rsidP="00E77872">
            <w:pPr>
              <w:spacing w:before="40" w:after="40"/>
              <w:rPr>
                <w:b/>
                <w:i/>
              </w:rPr>
            </w:pPr>
            <w:r w:rsidRPr="00E26753">
              <w:rPr>
                <w:rFonts w:cs="Arial"/>
                <w:b/>
                <w:color w:val="000000"/>
              </w:rPr>
              <w:t>French born</w:t>
            </w:r>
          </w:p>
        </w:tc>
        <w:tc>
          <w:tcPr>
            <w:tcW w:w="1275"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rPr>
                <w:rFonts w:cs="Arial"/>
                <w:color w:val="000000"/>
              </w:rPr>
            </w:pPr>
            <w:r w:rsidRPr="00E26753">
              <w:rPr>
                <w:rFonts w:cs="Arial"/>
                <w:color w:val="000000"/>
              </w:rPr>
              <w:t>Number</w:t>
            </w:r>
          </w:p>
        </w:tc>
        <w:tc>
          <w:tcPr>
            <w:tcW w:w="1701" w:type="dxa"/>
            <w:tcBorders>
              <w:top w:val="single" w:sz="4" w:space="0" w:color="auto"/>
            </w:tcBorders>
            <w:shd w:val="clear" w:color="auto" w:fill="auto"/>
            <w:vAlign w:val="center"/>
          </w:tcPr>
          <w:p w:rsidR="00E90113" w:rsidRPr="00E26753" w:rsidRDefault="00E90113" w:rsidP="00E77872">
            <w:pPr>
              <w:spacing w:before="40" w:after="40"/>
              <w:jc w:val="right"/>
            </w:pPr>
            <w:r w:rsidRPr="00E26753">
              <w:t>33</w:t>
            </w:r>
          </w:p>
        </w:tc>
        <w:tc>
          <w:tcPr>
            <w:tcW w:w="1699" w:type="dxa"/>
            <w:tcBorders>
              <w:top w:val="single" w:sz="4" w:space="0" w:color="auto"/>
            </w:tcBorders>
            <w:shd w:val="clear" w:color="auto" w:fill="auto"/>
            <w:vAlign w:val="center"/>
          </w:tcPr>
          <w:p w:rsidR="00E90113" w:rsidRPr="00E26753" w:rsidRDefault="00E90113" w:rsidP="00E77872">
            <w:pPr>
              <w:spacing w:before="40" w:after="40"/>
              <w:jc w:val="right"/>
            </w:pPr>
            <w:r w:rsidRPr="00E26753">
              <w:t>47</w:t>
            </w:r>
          </w:p>
        </w:tc>
        <w:tc>
          <w:tcPr>
            <w:tcW w:w="2164" w:type="dxa"/>
            <w:tcBorders>
              <w:top w:val="single" w:sz="4" w:space="0" w:color="auto"/>
            </w:tcBorders>
            <w:shd w:val="clear" w:color="auto" w:fill="auto"/>
            <w:vAlign w:val="center"/>
          </w:tcPr>
          <w:p w:rsidR="00E90113" w:rsidRPr="00E26753" w:rsidRDefault="00E90113" w:rsidP="00E77872">
            <w:pPr>
              <w:spacing w:before="40" w:after="40"/>
              <w:jc w:val="right"/>
              <w:rPr>
                <w:rFonts w:cs="Arial"/>
                <w:color w:val="000000"/>
              </w:rPr>
            </w:pPr>
            <w:r w:rsidRPr="00E26753">
              <w:rPr>
                <w:rFonts w:cs="Arial"/>
                <w:color w:val="000000"/>
              </w:rPr>
              <w:t>80 (48.5%)</w:t>
            </w:r>
          </w:p>
        </w:tc>
      </w:tr>
      <w:tr w:rsidR="00E90113" w:rsidRPr="00E26753" w:rsidTr="00E77872">
        <w:trPr>
          <w:trHeight w:val="116"/>
          <w:jc w:val="center"/>
        </w:trPr>
        <w:tc>
          <w:tcPr>
            <w:tcW w:w="934" w:type="dxa"/>
            <w:vMerge/>
            <w:tcBorders>
              <w:bottom w:val="single" w:sz="4" w:space="0" w:color="auto"/>
            </w:tcBorders>
            <w:shd w:val="clear" w:color="auto" w:fill="auto"/>
          </w:tcPr>
          <w:p w:rsidR="00E90113" w:rsidRPr="00E26753" w:rsidRDefault="00E90113" w:rsidP="00E77872">
            <w:pPr>
              <w:spacing w:before="40" w:after="40"/>
              <w:rPr>
                <w:rFonts w:cs="Arial"/>
                <w:b/>
                <w:color w:val="000000"/>
              </w:rPr>
            </w:pPr>
          </w:p>
        </w:tc>
        <w:tc>
          <w:tcPr>
            <w:tcW w:w="1134" w:type="dxa"/>
            <w:vMerge/>
            <w:shd w:val="clear" w:color="auto" w:fill="auto"/>
          </w:tcPr>
          <w:p w:rsidR="00E90113" w:rsidRPr="00E26753" w:rsidRDefault="00E90113" w:rsidP="00E77872">
            <w:pPr>
              <w:spacing w:before="40" w:after="40"/>
              <w:rPr>
                <w:rFonts w:cs="Arial"/>
                <w:b/>
                <w:color w:val="000000"/>
              </w:rPr>
            </w:pPr>
          </w:p>
        </w:tc>
        <w:tc>
          <w:tcPr>
            <w:tcW w:w="1275" w:type="dxa"/>
            <w:shd w:val="clear" w:color="auto" w:fill="auto"/>
            <w:vAlign w:val="center"/>
          </w:tcPr>
          <w:p w:rsidR="00E90113" w:rsidRPr="00E26753" w:rsidRDefault="00E90113" w:rsidP="00E77872">
            <w:pPr>
              <w:autoSpaceDE w:val="0"/>
              <w:autoSpaceDN w:val="0"/>
              <w:adjustRightInd w:val="0"/>
              <w:spacing w:before="40" w:after="40"/>
              <w:ind w:left="60" w:right="60"/>
              <w:rPr>
                <w:rFonts w:cs="Arial"/>
                <w:color w:val="000000"/>
              </w:rPr>
            </w:pPr>
            <w:r w:rsidRPr="00E26753">
              <w:rPr>
                <w:rFonts w:cs="Arial"/>
                <w:color w:val="000000"/>
              </w:rPr>
              <w:t>Percentage</w:t>
            </w:r>
          </w:p>
        </w:tc>
        <w:tc>
          <w:tcPr>
            <w:tcW w:w="1701" w:type="dxa"/>
            <w:shd w:val="clear" w:color="auto" w:fill="auto"/>
            <w:vAlign w:val="center"/>
          </w:tcPr>
          <w:p w:rsidR="00E90113" w:rsidRPr="00E26753" w:rsidRDefault="00E90113" w:rsidP="00E77872">
            <w:pPr>
              <w:spacing w:before="40" w:after="40"/>
              <w:jc w:val="right"/>
            </w:pPr>
            <w:r w:rsidRPr="00E26753">
              <w:t>41.3%</w:t>
            </w:r>
          </w:p>
        </w:tc>
        <w:tc>
          <w:tcPr>
            <w:tcW w:w="1699" w:type="dxa"/>
            <w:shd w:val="clear" w:color="auto" w:fill="auto"/>
            <w:vAlign w:val="center"/>
          </w:tcPr>
          <w:p w:rsidR="00E90113" w:rsidRPr="00E26753" w:rsidRDefault="00E90113" w:rsidP="00E77872">
            <w:pPr>
              <w:spacing w:before="40" w:after="40"/>
              <w:jc w:val="right"/>
            </w:pPr>
            <w:r w:rsidRPr="00E26753">
              <w:t>58.7%</w:t>
            </w:r>
          </w:p>
        </w:tc>
        <w:tc>
          <w:tcPr>
            <w:tcW w:w="2164" w:type="dxa"/>
            <w:shd w:val="clear" w:color="auto" w:fill="auto"/>
            <w:vAlign w:val="center"/>
          </w:tcPr>
          <w:p w:rsidR="00E90113" w:rsidRPr="00E26753" w:rsidRDefault="00E90113" w:rsidP="00E77872">
            <w:pPr>
              <w:spacing w:before="40" w:after="40"/>
              <w:jc w:val="right"/>
            </w:pPr>
            <w:r w:rsidRPr="00E26753">
              <w:t>100.0%</w:t>
            </w:r>
          </w:p>
        </w:tc>
      </w:tr>
      <w:tr w:rsidR="00E90113" w:rsidRPr="00E26753" w:rsidTr="00E77872">
        <w:trPr>
          <w:trHeight w:val="116"/>
          <w:jc w:val="center"/>
        </w:trPr>
        <w:tc>
          <w:tcPr>
            <w:tcW w:w="934" w:type="dxa"/>
            <w:vMerge/>
            <w:tcBorders>
              <w:bottom w:val="single" w:sz="4" w:space="0" w:color="auto"/>
            </w:tcBorders>
            <w:shd w:val="clear" w:color="auto" w:fill="auto"/>
          </w:tcPr>
          <w:p w:rsidR="00E90113" w:rsidRPr="00E26753" w:rsidRDefault="00E90113" w:rsidP="00E77872">
            <w:pPr>
              <w:spacing w:before="40" w:after="40"/>
              <w:rPr>
                <w:rFonts w:cs="Arial"/>
                <w:b/>
                <w:color w:val="000000"/>
              </w:rPr>
            </w:pPr>
          </w:p>
        </w:tc>
        <w:tc>
          <w:tcPr>
            <w:tcW w:w="1134" w:type="dxa"/>
            <w:vMerge w:val="restart"/>
            <w:shd w:val="clear" w:color="auto" w:fill="auto"/>
          </w:tcPr>
          <w:p w:rsidR="00E90113" w:rsidRPr="00E26753" w:rsidRDefault="00E90113" w:rsidP="00E77872">
            <w:pPr>
              <w:spacing w:before="40" w:after="40"/>
              <w:rPr>
                <w:rFonts w:cs="Arial"/>
                <w:b/>
                <w:color w:val="000000"/>
              </w:rPr>
            </w:pPr>
            <w:r w:rsidRPr="00E26753">
              <w:rPr>
                <w:rFonts w:cs="Arial"/>
                <w:b/>
                <w:color w:val="000000"/>
              </w:rPr>
              <w:t>Rest of world</w:t>
            </w:r>
          </w:p>
        </w:tc>
        <w:tc>
          <w:tcPr>
            <w:tcW w:w="1275" w:type="dxa"/>
            <w:shd w:val="clear" w:color="auto" w:fill="auto"/>
            <w:vAlign w:val="center"/>
          </w:tcPr>
          <w:p w:rsidR="00E90113" w:rsidRPr="00E26753" w:rsidRDefault="00E90113" w:rsidP="00E77872">
            <w:pPr>
              <w:autoSpaceDE w:val="0"/>
              <w:autoSpaceDN w:val="0"/>
              <w:adjustRightInd w:val="0"/>
              <w:spacing w:before="40" w:after="40"/>
              <w:ind w:left="60" w:right="60"/>
              <w:rPr>
                <w:rFonts w:cs="Arial"/>
                <w:color w:val="000000"/>
              </w:rPr>
            </w:pPr>
            <w:r w:rsidRPr="00E26753">
              <w:rPr>
                <w:rFonts w:cs="Arial"/>
                <w:color w:val="000000"/>
              </w:rPr>
              <w:t>Number</w:t>
            </w:r>
          </w:p>
        </w:tc>
        <w:tc>
          <w:tcPr>
            <w:tcW w:w="1701" w:type="dxa"/>
            <w:shd w:val="clear" w:color="auto" w:fill="auto"/>
            <w:vAlign w:val="center"/>
          </w:tcPr>
          <w:p w:rsidR="00E90113" w:rsidRPr="00E26753" w:rsidRDefault="00E90113" w:rsidP="00E77872">
            <w:pPr>
              <w:spacing w:before="40" w:after="40"/>
              <w:jc w:val="right"/>
            </w:pPr>
            <w:r w:rsidRPr="00E26753">
              <w:t>50</w:t>
            </w:r>
          </w:p>
        </w:tc>
        <w:tc>
          <w:tcPr>
            <w:tcW w:w="1699" w:type="dxa"/>
            <w:shd w:val="clear" w:color="auto" w:fill="auto"/>
            <w:vAlign w:val="center"/>
          </w:tcPr>
          <w:p w:rsidR="00E90113" w:rsidRPr="00E26753" w:rsidRDefault="00E90113" w:rsidP="00E77872">
            <w:pPr>
              <w:spacing w:before="40" w:after="40"/>
              <w:jc w:val="right"/>
            </w:pPr>
            <w:r w:rsidRPr="00E26753">
              <w:t>35</w:t>
            </w:r>
          </w:p>
        </w:tc>
        <w:tc>
          <w:tcPr>
            <w:tcW w:w="2164" w:type="dxa"/>
            <w:shd w:val="clear" w:color="auto" w:fill="auto"/>
            <w:vAlign w:val="center"/>
          </w:tcPr>
          <w:p w:rsidR="00E90113" w:rsidRPr="00E26753" w:rsidRDefault="00E90113" w:rsidP="00E77872">
            <w:pPr>
              <w:spacing w:before="40" w:after="40"/>
              <w:jc w:val="right"/>
              <w:rPr>
                <w:rFonts w:cs="Arial"/>
                <w:color w:val="000000"/>
              </w:rPr>
            </w:pPr>
            <w:r w:rsidRPr="00E26753">
              <w:rPr>
                <w:rFonts w:cs="Arial"/>
                <w:color w:val="000000"/>
              </w:rPr>
              <w:t>85 (51.5%)</w:t>
            </w:r>
          </w:p>
        </w:tc>
      </w:tr>
      <w:tr w:rsidR="00E90113" w:rsidRPr="00E26753" w:rsidTr="00E77872">
        <w:trPr>
          <w:trHeight w:val="116"/>
          <w:jc w:val="center"/>
        </w:trPr>
        <w:tc>
          <w:tcPr>
            <w:tcW w:w="934" w:type="dxa"/>
            <w:vMerge/>
            <w:tcBorders>
              <w:bottom w:val="single" w:sz="4" w:space="0" w:color="auto"/>
            </w:tcBorders>
            <w:shd w:val="clear" w:color="auto" w:fill="auto"/>
          </w:tcPr>
          <w:p w:rsidR="00E90113" w:rsidRPr="00E26753" w:rsidRDefault="00E90113" w:rsidP="00E77872">
            <w:pPr>
              <w:spacing w:before="40" w:after="40"/>
              <w:rPr>
                <w:b/>
              </w:rPr>
            </w:pPr>
          </w:p>
        </w:tc>
        <w:tc>
          <w:tcPr>
            <w:tcW w:w="1134" w:type="dxa"/>
            <w:vMerge/>
            <w:tcBorders>
              <w:bottom w:val="single" w:sz="4" w:space="0" w:color="auto"/>
            </w:tcBorders>
            <w:shd w:val="clear" w:color="auto" w:fill="auto"/>
          </w:tcPr>
          <w:p w:rsidR="00E90113" w:rsidRPr="00E26753" w:rsidRDefault="00E90113" w:rsidP="00E77872">
            <w:pPr>
              <w:spacing w:before="40" w:after="40"/>
              <w:rPr>
                <w:b/>
              </w:rPr>
            </w:pPr>
          </w:p>
        </w:tc>
        <w:tc>
          <w:tcPr>
            <w:tcW w:w="1275"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rPr>
                <w:rFonts w:cs="Arial"/>
                <w:color w:val="000000"/>
              </w:rPr>
            </w:pPr>
            <w:r w:rsidRPr="00E26753">
              <w:rPr>
                <w:rFonts w:cs="Arial"/>
                <w:color w:val="000000"/>
              </w:rPr>
              <w:t>Percentage</w:t>
            </w:r>
          </w:p>
        </w:tc>
        <w:tc>
          <w:tcPr>
            <w:tcW w:w="1701" w:type="dxa"/>
            <w:tcBorders>
              <w:bottom w:val="single" w:sz="4" w:space="0" w:color="auto"/>
            </w:tcBorders>
            <w:shd w:val="clear" w:color="auto" w:fill="auto"/>
            <w:vAlign w:val="center"/>
          </w:tcPr>
          <w:p w:rsidR="00E90113" w:rsidRPr="00E26753" w:rsidRDefault="00E90113" w:rsidP="00E77872">
            <w:pPr>
              <w:spacing w:before="40" w:after="40"/>
              <w:jc w:val="right"/>
              <w:rPr>
                <w:rFonts w:cs="Arial"/>
                <w:color w:val="000000"/>
              </w:rPr>
            </w:pPr>
            <w:r w:rsidRPr="00E26753">
              <w:rPr>
                <w:rFonts w:cs="Arial"/>
                <w:color w:val="000000"/>
              </w:rPr>
              <w:t>58.8%</w:t>
            </w:r>
          </w:p>
        </w:tc>
        <w:tc>
          <w:tcPr>
            <w:tcW w:w="1699" w:type="dxa"/>
            <w:tcBorders>
              <w:bottom w:val="single" w:sz="4" w:space="0" w:color="auto"/>
            </w:tcBorders>
            <w:shd w:val="clear" w:color="auto" w:fill="auto"/>
            <w:vAlign w:val="center"/>
          </w:tcPr>
          <w:p w:rsidR="00E90113" w:rsidRPr="00E26753" w:rsidRDefault="00E90113" w:rsidP="00E77872">
            <w:pPr>
              <w:spacing w:before="40" w:after="40"/>
              <w:jc w:val="right"/>
              <w:rPr>
                <w:rFonts w:cs="Arial"/>
                <w:color w:val="000000"/>
              </w:rPr>
            </w:pPr>
            <w:r w:rsidRPr="00E26753">
              <w:rPr>
                <w:rFonts w:cs="Arial"/>
                <w:color w:val="000000"/>
              </w:rPr>
              <w:t>41.2%</w:t>
            </w:r>
          </w:p>
        </w:tc>
        <w:tc>
          <w:tcPr>
            <w:tcW w:w="2164" w:type="dxa"/>
            <w:tcBorders>
              <w:bottom w:val="single" w:sz="4" w:space="0" w:color="auto"/>
            </w:tcBorders>
            <w:shd w:val="clear" w:color="auto" w:fill="auto"/>
            <w:vAlign w:val="center"/>
          </w:tcPr>
          <w:p w:rsidR="00E90113" w:rsidRPr="00E26753" w:rsidRDefault="00E90113" w:rsidP="00E77872">
            <w:pPr>
              <w:spacing w:before="40" w:after="40"/>
              <w:jc w:val="right"/>
              <w:rPr>
                <w:rFonts w:cs="Arial"/>
                <w:color w:val="000000"/>
              </w:rPr>
            </w:pPr>
            <w:r w:rsidRPr="00E26753">
              <w:rPr>
                <w:rFonts w:cs="Arial"/>
                <w:color w:val="000000"/>
              </w:rPr>
              <w:t>100.0%</w:t>
            </w:r>
          </w:p>
        </w:tc>
      </w:tr>
      <w:tr w:rsidR="00E90113" w:rsidRPr="00E26753" w:rsidTr="00E77872">
        <w:trPr>
          <w:trHeight w:val="116"/>
          <w:jc w:val="center"/>
        </w:trPr>
        <w:tc>
          <w:tcPr>
            <w:tcW w:w="934" w:type="dxa"/>
            <w:vMerge/>
            <w:tcBorders>
              <w:bottom w:val="single" w:sz="4" w:space="0" w:color="auto"/>
            </w:tcBorders>
            <w:shd w:val="clear" w:color="auto" w:fill="auto"/>
          </w:tcPr>
          <w:p w:rsidR="00E90113" w:rsidRPr="00E26753" w:rsidRDefault="00E90113" w:rsidP="00E77872">
            <w:pPr>
              <w:spacing w:before="40" w:after="40"/>
              <w:rPr>
                <w:b/>
              </w:rPr>
            </w:pPr>
          </w:p>
        </w:tc>
        <w:tc>
          <w:tcPr>
            <w:tcW w:w="1134" w:type="dxa"/>
            <w:vMerge w:val="restart"/>
            <w:tcBorders>
              <w:top w:val="single" w:sz="4" w:space="0" w:color="auto"/>
            </w:tcBorders>
            <w:shd w:val="clear" w:color="auto" w:fill="auto"/>
          </w:tcPr>
          <w:p w:rsidR="00E90113" w:rsidRPr="00E26753" w:rsidRDefault="00E90113" w:rsidP="00E77872">
            <w:pPr>
              <w:spacing w:before="40" w:after="40"/>
              <w:rPr>
                <w:b/>
              </w:rPr>
            </w:pPr>
            <w:r w:rsidRPr="00E26753">
              <w:rPr>
                <w:rFonts w:cs="Arial"/>
                <w:b/>
                <w:color w:val="000000"/>
              </w:rPr>
              <w:t>Total</w:t>
            </w:r>
          </w:p>
        </w:tc>
        <w:tc>
          <w:tcPr>
            <w:tcW w:w="1275"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rPr>
                <w:rFonts w:cs="Arial"/>
                <w:b/>
                <w:color w:val="000000"/>
              </w:rPr>
            </w:pPr>
            <w:r w:rsidRPr="00E26753">
              <w:rPr>
                <w:rFonts w:cs="Arial"/>
                <w:b/>
                <w:color w:val="000000"/>
              </w:rPr>
              <w:t>Number</w:t>
            </w:r>
          </w:p>
        </w:tc>
        <w:tc>
          <w:tcPr>
            <w:tcW w:w="1701"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83</w:t>
            </w:r>
          </w:p>
        </w:tc>
        <w:tc>
          <w:tcPr>
            <w:tcW w:w="1699"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82</w:t>
            </w:r>
          </w:p>
        </w:tc>
        <w:tc>
          <w:tcPr>
            <w:tcW w:w="2164" w:type="dxa"/>
            <w:tcBorders>
              <w:top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165</w:t>
            </w:r>
          </w:p>
        </w:tc>
      </w:tr>
      <w:tr w:rsidR="00E90113" w:rsidRPr="00E26753" w:rsidTr="00E77872">
        <w:trPr>
          <w:trHeight w:val="116"/>
          <w:jc w:val="center"/>
        </w:trPr>
        <w:tc>
          <w:tcPr>
            <w:tcW w:w="934" w:type="dxa"/>
            <w:vMerge/>
            <w:tcBorders>
              <w:bottom w:val="single" w:sz="4" w:space="0" w:color="auto"/>
            </w:tcBorders>
            <w:shd w:val="clear" w:color="auto" w:fill="auto"/>
          </w:tcPr>
          <w:p w:rsidR="00E90113" w:rsidRPr="00E26753" w:rsidRDefault="00E90113" w:rsidP="00E77872">
            <w:pPr>
              <w:spacing w:before="40" w:after="40"/>
              <w:rPr>
                <w:b/>
              </w:rPr>
            </w:pPr>
          </w:p>
        </w:tc>
        <w:tc>
          <w:tcPr>
            <w:tcW w:w="1134" w:type="dxa"/>
            <w:vMerge/>
            <w:tcBorders>
              <w:bottom w:val="single" w:sz="4" w:space="0" w:color="auto"/>
            </w:tcBorders>
            <w:shd w:val="clear" w:color="auto" w:fill="auto"/>
            <w:vAlign w:val="center"/>
          </w:tcPr>
          <w:p w:rsidR="00E90113" w:rsidRPr="00E26753" w:rsidRDefault="00E90113" w:rsidP="00E77872">
            <w:pPr>
              <w:spacing w:before="40" w:after="40"/>
              <w:rPr>
                <w:b/>
              </w:rPr>
            </w:pPr>
          </w:p>
        </w:tc>
        <w:tc>
          <w:tcPr>
            <w:tcW w:w="1275"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rPr>
                <w:rFonts w:cs="Arial"/>
                <w:b/>
                <w:color w:val="000000"/>
              </w:rPr>
            </w:pPr>
            <w:r w:rsidRPr="00E26753">
              <w:rPr>
                <w:rFonts w:cs="Arial"/>
                <w:b/>
                <w:color w:val="000000"/>
              </w:rPr>
              <w:t>Percentage</w:t>
            </w:r>
          </w:p>
        </w:tc>
        <w:tc>
          <w:tcPr>
            <w:tcW w:w="1701"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50.3%</w:t>
            </w:r>
          </w:p>
        </w:tc>
        <w:tc>
          <w:tcPr>
            <w:tcW w:w="1699"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49.7%</w:t>
            </w:r>
          </w:p>
        </w:tc>
        <w:tc>
          <w:tcPr>
            <w:tcW w:w="2164" w:type="dxa"/>
            <w:tcBorders>
              <w:bottom w:val="single" w:sz="4" w:space="0" w:color="auto"/>
            </w:tcBorders>
            <w:shd w:val="clear" w:color="auto" w:fill="auto"/>
            <w:vAlign w:val="center"/>
          </w:tcPr>
          <w:p w:rsidR="00E90113" w:rsidRPr="00E26753" w:rsidRDefault="00E90113" w:rsidP="00E77872">
            <w:pPr>
              <w:autoSpaceDE w:val="0"/>
              <w:autoSpaceDN w:val="0"/>
              <w:adjustRightInd w:val="0"/>
              <w:spacing w:before="40" w:after="40"/>
              <w:ind w:left="60" w:right="60"/>
              <w:jc w:val="right"/>
              <w:rPr>
                <w:rFonts w:cs="Arial"/>
                <w:b/>
                <w:color w:val="000000"/>
              </w:rPr>
            </w:pPr>
            <w:r w:rsidRPr="00E26753">
              <w:rPr>
                <w:rFonts w:cs="Arial"/>
                <w:b/>
                <w:color w:val="000000"/>
              </w:rPr>
              <w:t>100.0%</w:t>
            </w:r>
          </w:p>
        </w:tc>
      </w:tr>
      <w:tr w:rsidR="00E90113" w:rsidRPr="00E26753" w:rsidTr="00E77872">
        <w:trPr>
          <w:trHeight w:val="116"/>
          <w:jc w:val="center"/>
        </w:trPr>
        <w:tc>
          <w:tcPr>
            <w:tcW w:w="8907" w:type="dxa"/>
            <w:gridSpan w:val="6"/>
            <w:shd w:val="clear" w:color="auto" w:fill="auto"/>
          </w:tcPr>
          <w:p w:rsidR="00E90113" w:rsidRPr="00101AE7" w:rsidRDefault="00E90113" w:rsidP="00101AE7">
            <w:pPr>
              <w:autoSpaceDE w:val="0"/>
              <w:autoSpaceDN w:val="0"/>
              <w:adjustRightInd w:val="0"/>
              <w:spacing w:before="20" w:after="20" w:line="240" w:lineRule="auto"/>
              <w:ind w:left="62" w:right="62"/>
              <w:rPr>
                <w:rFonts w:cs="Arial"/>
                <w:sz w:val="16"/>
                <w:szCs w:val="16"/>
              </w:rPr>
            </w:pPr>
            <w:r w:rsidRPr="00E26753">
              <w:rPr>
                <w:rFonts w:cs="Arial"/>
              </w:rPr>
              <w:br/>
            </w:r>
            <w:r w:rsidRPr="00101AE7">
              <w:rPr>
                <w:rFonts w:cs="Arial"/>
                <w:sz w:val="16"/>
                <w:szCs w:val="16"/>
              </w:rPr>
              <w:t xml:space="preserve">*Whilst both place of birth and ethnicity data were collected in the UK arm of the study, it is illegal to identify people on the grounds of ethnicity alone in France, so data on the place of birth was used as a proxy in this case. </w:t>
            </w:r>
          </w:p>
        </w:tc>
      </w:tr>
    </w:tbl>
    <w:p w:rsidR="00101AE7" w:rsidRPr="00101AE7" w:rsidRDefault="00101AE7" w:rsidP="00423CF0">
      <w:pPr>
        <w:spacing w:line="480" w:lineRule="auto"/>
        <w:rPr>
          <w:rFonts w:cs="Times New Roman"/>
          <w:sz w:val="4"/>
          <w:szCs w:val="4"/>
        </w:rPr>
      </w:pPr>
    </w:p>
    <w:p w:rsidR="00B2376C" w:rsidRPr="00B2376C" w:rsidRDefault="00B2376C" w:rsidP="00101AE7">
      <w:pPr>
        <w:spacing w:after="0" w:line="480" w:lineRule="auto"/>
        <w:rPr>
          <w:rFonts w:cs="Times New Roman"/>
          <w:sz w:val="4"/>
          <w:szCs w:val="4"/>
        </w:rPr>
      </w:pPr>
    </w:p>
    <w:p w:rsidR="00E90113" w:rsidRPr="0051401C" w:rsidRDefault="00E90113" w:rsidP="00101AE7">
      <w:pPr>
        <w:spacing w:after="0" w:line="480" w:lineRule="auto"/>
        <w:rPr>
          <w:rFonts w:cs="Times New Roman"/>
          <w:b/>
        </w:rPr>
      </w:pPr>
      <w:r w:rsidRPr="0051401C">
        <w:rPr>
          <w:rFonts w:cs="Times New Roman"/>
          <w:b/>
        </w:rPr>
        <w:t>Table 2.  Gender of patients CD4 count ≤350mm³ versus CD4 count &gt;350mm³</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134"/>
        <w:gridCol w:w="1363"/>
        <w:gridCol w:w="1701"/>
        <w:gridCol w:w="1701"/>
        <w:gridCol w:w="2061"/>
      </w:tblGrid>
      <w:tr w:rsidR="00E90113" w:rsidRPr="00E26753" w:rsidTr="00E77872">
        <w:trPr>
          <w:trHeight w:val="530"/>
          <w:jc w:val="center"/>
        </w:trPr>
        <w:tc>
          <w:tcPr>
            <w:tcW w:w="832" w:type="dxa"/>
            <w:tcBorders>
              <w:top w:val="single" w:sz="4" w:space="0" w:color="auto"/>
              <w:bottom w:val="single" w:sz="4" w:space="0" w:color="auto"/>
            </w:tcBorders>
            <w:shd w:val="clear" w:color="auto" w:fill="FFFFFF" w:themeFill="background1"/>
          </w:tcPr>
          <w:p w:rsidR="00E90113" w:rsidRPr="00E26753" w:rsidRDefault="00E90113" w:rsidP="00E77872">
            <w:pPr>
              <w:spacing w:line="276" w:lineRule="auto"/>
              <w:rPr>
                <w:rFonts w:cs="Arial"/>
                <w:b/>
                <w:i/>
                <w:color w:val="000000"/>
              </w:rPr>
            </w:pPr>
          </w:p>
        </w:tc>
        <w:tc>
          <w:tcPr>
            <w:tcW w:w="1134"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rPr>
                <w:rFonts w:cs="Arial"/>
                <w:color w:val="000000"/>
              </w:rPr>
            </w:pPr>
          </w:p>
        </w:tc>
        <w:tc>
          <w:tcPr>
            <w:tcW w:w="1275"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rPr>
                <w:rFonts w:cs="Arial"/>
                <w:color w:val="000000"/>
              </w:rPr>
            </w:pPr>
          </w:p>
        </w:tc>
        <w:tc>
          <w:tcPr>
            <w:tcW w:w="1701"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CD4 count ≤350mm³</w:t>
            </w:r>
          </w:p>
        </w:tc>
        <w:tc>
          <w:tcPr>
            <w:tcW w:w="1701"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CD4 count &gt;350mm³</w:t>
            </w:r>
          </w:p>
        </w:tc>
        <w:tc>
          <w:tcPr>
            <w:tcW w:w="2061"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Total</w:t>
            </w:r>
          </w:p>
        </w:tc>
      </w:tr>
      <w:tr w:rsidR="00E90113" w:rsidRPr="00E26753" w:rsidTr="00E77872">
        <w:trPr>
          <w:trHeight w:val="274"/>
          <w:jc w:val="center"/>
        </w:trPr>
        <w:tc>
          <w:tcPr>
            <w:tcW w:w="832" w:type="dxa"/>
            <w:vMerge w:val="restart"/>
            <w:tcBorders>
              <w:top w:val="single" w:sz="4" w:space="0" w:color="auto"/>
            </w:tcBorders>
          </w:tcPr>
          <w:p w:rsidR="00E90113" w:rsidRPr="00E26753" w:rsidRDefault="00E90113" w:rsidP="00E77872">
            <w:pPr>
              <w:spacing w:line="276" w:lineRule="auto"/>
              <w:rPr>
                <w:b/>
              </w:rPr>
            </w:pPr>
            <w:r w:rsidRPr="00E26753">
              <w:rPr>
                <w:rFonts w:cs="Arial"/>
                <w:b/>
                <w:color w:val="000000"/>
              </w:rPr>
              <w:t>UK</w:t>
            </w:r>
          </w:p>
        </w:tc>
        <w:tc>
          <w:tcPr>
            <w:tcW w:w="1134" w:type="dxa"/>
            <w:vMerge w:val="restart"/>
            <w:tcBorders>
              <w:top w:val="single" w:sz="4" w:space="0" w:color="auto"/>
            </w:tcBorders>
          </w:tcPr>
          <w:p w:rsidR="00E90113" w:rsidRPr="00E26753" w:rsidRDefault="00E90113" w:rsidP="00E77872">
            <w:pPr>
              <w:spacing w:line="276" w:lineRule="auto"/>
              <w:rPr>
                <w:b/>
              </w:rPr>
            </w:pPr>
            <w:r w:rsidRPr="00E26753">
              <w:rPr>
                <w:rFonts w:cs="Arial"/>
                <w:b/>
                <w:color w:val="000000"/>
              </w:rPr>
              <w:t>Male</w:t>
            </w:r>
          </w:p>
        </w:tc>
        <w:tc>
          <w:tcPr>
            <w:tcW w:w="1275" w:type="dxa"/>
            <w:tcBorders>
              <w:top w:val="single" w:sz="4" w:space="0" w:color="auto"/>
            </w:tcBorders>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92</w:t>
            </w:r>
          </w:p>
        </w:tc>
        <w:tc>
          <w:tcPr>
            <w:tcW w:w="1701"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70</w:t>
            </w:r>
          </w:p>
        </w:tc>
        <w:tc>
          <w:tcPr>
            <w:tcW w:w="2061"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162</w:t>
            </w:r>
          </w:p>
        </w:tc>
      </w:tr>
      <w:tr w:rsidR="00E90113" w:rsidRPr="00E26753" w:rsidTr="00E77872">
        <w:trPr>
          <w:trHeight w:val="121"/>
          <w:jc w:val="center"/>
        </w:trPr>
        <w:tc>
          <w:tcPr>
            <w:tcW w:w="832" w:type="dxa"/>
            <w:vMerge/>
          </w:tcPr>
          <w:p w:rsidR="00E90113" w:rsidRPr="00E26753" w:rsidRDefault="00E90113" w:rsidP="00E77872">
            <w:pPr>
              <w:spacing w:line="276" w:lineRule="auto"/>
              <w:rPr>
                <w:b/>
              </w:rPr>
            </w:pPr>
          </w:p>
        </w:tc>
        <w:tc>
          <w:tcPr>
            <w:tcW w:w="1134" w:type="dxa"/>
            <w:vMerge/>
          </w:tcPr>
          <w:p w:rsidR="00E90113" w:rsidRPr="00E26753" w:rsidRDefault="00E90113" w:rsidP="00E77872">
            <w:pPr>
              <w:spacing w:line="276" w:lineRule="auto"/>
              <w:rPr>
                <w:b/>
              </w:rPr>
            </w:pPr>
          </w:p>
        </w:tc>
        <w:tc>
          <w:tcPr>
            <w:tcW w:w="1275"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56.8%</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43.2%</w:t>
            </w:r>
          </w:p>
        </w:tc>
        <w:tc>
          <w:tcPr>
            <w:tcW w:w="206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100.0%</w:t>
            </w:r>
          </w:p>
        </w:tc>
      </w:tr>
      <w:tr w:rsidR="00E90113" w:rsidRPr="00E26753" w:rsidTr="00E77872">
        <w:trPr>
          <w:trHeight w:val="121"/>
          <w:jc w:val="center"/>
        </w:trPr>
        <w:tc>
          <w:tcPr>
            <w:tcW w:w="832" w:type="dxa"/>
            <w:vMerge/>
          </w:tcPr>
          <w:p w:rsidR="00E90113" w:rsidRPr="00E26753" w:rsidRDefault="00E90113" w:rsidP="00E77872">
            <w:pPr>
              <w:spacing w:line="276" w:lineRule="auto"/>
              <w:rPr>
                <w:b/>
              </w:rPr>
            </w:pPr>
          </w:p>
        </w:tc>
        <w:tc>
          <w:tcPr>
            <w:tcW w:w="1134" w:type="dxa"/>
            <w:vMerge w:val="restart"/>
          </w:tcPr>
          <w:p w:rsidR="00E90113" w:rsidRPr="00E26753" w:rsidRDefault="00E90113" w:rsidP="00E77872">
            <w:pPr>
              <w:spacing w:line="276" w:lineRule="auto"/>
              <w:rPr>
                <w:b/>
              </w:rPr>
            </w:pPr>
            <w:r w:rsidRPr="00E26753">
              <w:rPr>
                <w:rFonts w:cs="Arial"/>
                <w:b/>
                <w:color w:val="000000"/>
              </w:rPr>
              <w:t xml:space="preserve">Female </w:t>
            </w:r>
          </w:p>
        </w:tc>
        <w:tc>
          <w:tcPr>
            <w:tcW w:w="1275"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53</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25</w:t>
            </w:r>
          </w:p>
        </w:tc>
        <w:tc>
          <w:tcPr>
            <w:tcW w:w="206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78</w:t>
            </w:r>
          </w:p>
        </w:tc>
      </w:tr>
      <w:tr w:rsidR="00E90113" w:rsidRPr="00E26753" w:rsidTr="00E77872">
        <w:trPr>
          <w:trHeight w:val="121"/>
          <w:jc w:val="center"/>
        </w:trPr>
        <w:tc>
          <w:tcPr>
            <w:tcW w:w="832" w:type="dxa"/>
            <w:vMerge/>
          </w:tcPr>
          <w:p w:rsidR="00E90113" w:rsidRPr="00E26753" w:rsidRDefault="00E90113" w:rsidP="00E77872">
            <w:pPr>
              <w:spacing w:line="276" w:lineRule="auto"/>
              <w:rPr>
                <w:b/>
              </w:rPr>
            </w:pPr>
          </w:p>
        </w:tc>
        <w:tc>
          <w:tcPr>
            <w:tcW w:w="1134" w:type="dxa"/>
            <w:vMerge/>
            <w:tcBorders>
              <w:bottom w:val="single" w:sz="4" w:space="0" w:color="auto"/>
            </w:tcBorders>
          </w:tcPr>
          <w:p w:rsidR="00E90113" w:rsidRPr="00E26753" w:rsidRDefault="00E90113" w:rsidP="00E77872">
            <w:pPr>
              <w:spacing w:line="276" w:lineRule="auto"/>
              <w:rPr>
                <w:b/>
              </w:rPr>
            </w:pPr>
          </w:p>
        </w:tc>
        <w:tc>
          <w:tcPr>
            <w:tcW w:w="1275" w:type="dxa"/>
            <w:tcBorders>
              <w:bottom w:val="single" w:sz="4" w:space="0" w:color="auto"/>
            </w:tcBorders>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67.9%</w:t>
            </w:r>
          </w:p>
        </w:tc>
        <w:tc>
          <w:tcPr>
            <w:tcW w:w="1701"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32.1%</w:t>
            </w:r>
          </w:p>
        </w:tc>
        <w:tc>
          <w:tcPr>
            <w:tcW w:w="2061"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100.0%</w:t>
            </w:r>
          </w:p>
        </w:tc>
      </w:tr>
      <w:tr w:rsidR="00E90113" w:rsidRPr="00E26753" w:rsidTr="00E77872">
        <w:trPr>
          <w:trHeight w:val="121"/>
          <w:jc w:val="center"/>
        </w:trPr>
        <w:tc>
          <w:tcPr>
            <w:tcW w:w="832" w:type="dxa"/>
            <w:vMerge/>
            <w:shd w:val="clear" w:color="auto" w:fill="FFFFFF" w:themeFill="background1"/>
          </w:tcPr>
          <w:p w:rsidR="00E90113" w:rsidRPr="00E26753" w:rsidRDefault="00E90113" w:rsidP="00E77872">
            <w:pPr>
              <w:spacing w:line="276" w:lineRule="auto"/>
              <w:rPr>
                <w:b/>
              </w:rPr>
            </w:pPr>
          </w:p>
        </w:tc>
        <w:tc>
          <w:tcPr>
            <w:tcW w:w="1134" w:type="dxa"/>
            <w:vMerge w:val="restart"/>
            <w:tcBorders>
              <w:top w:val="single" w:sz="4" w:space="0" w:color="auto"/>
            </w:tcBorders>
            <w:shd w:val="clear" w:color="auto" w:fill="FFFFFF" w:themeFill="background1"/>
          </w:tcPr>
          <w:p w:rsidR="00E90113" w:rsidRPr="00E26753" w:rsidRDefault="00E90113" w:rsidP="00E77872">
            <w:pPr>
              <w:spacing w:line="276" w:lineRule="auto"/>
              <w:rPr>
                <w:b/>
              </w:rPr>
            </w:pPr>
            <w:r>
              <w:rPr>
                <w:rFonts w:cs="Arial"/>
                <w:b/>
                <w:color w:val="000000"/>
              </w:rPr>
              <w:t>Total</w:t>
            </w:r>
          </w:p>
        </w:tc>
        <w:tc>
          <w:tcPr>
            <w:tcW w:w="1275" w:type="dxa"/>
            <w:tcBorders>
              <w:top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rPr>
                <w:rFonts w:cs="Arial"/>
                <w:b/>
                <w:color w:val="000000"/>
              </w:rPr>
            </w:pPr>
            <w:r w:rsidRPr="00E26753">
              <w:rPr>
                <w:rFonts w:cs="Arial"/>
                <w:b/>
                <w:color w:val="000000"/>
              </w:rPr>
              <w:t>Number</w:t>
            </w:r>
          </w:p>
        </w:tc>
        <w:tc>
          <w:tcPr>
            <w:tcW w:w="1701"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145</w:t>
            </w:r>
          </w:p>
        </w:tc>
        <w:tc>
          <w:tcPr>
            <w:tcW w:w="1701"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95</w:t>
            </w:r>
          </w:p>
        </w:tc>
        <w:tc>
          <w:tcPr>
            <w:tcW w:w="2061"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240</w:t>
            </w:r>
          </w:p>
        </w:tc>
      </w:tr>
      <w:tr w:rsidR="00E90113" w:rsidRPr="00E26753" w:rsidTr="00E77872">
        <w:trPr>
          <w:trHeight w:val="121"/>
          <w:jc w:val="center"/>
        </w:trPr>
        <w:tc>
          <w:tcPr>
            <w:tcW w:w="832" w:type="dxa"/>
            <w:vMerge/>
            <w:tcBorders>
              <w:bottom w:val="single" w:sz="4" w:space="0" w:color="auto"/>
            </w:tcBorders>
            <w:shd w:val="clear" w:color="auto" w:fill="FFFFFF" w:themeFill="background1"/>
          </w:tcPr>
          <w:p w:rsidR="00E90113" w:rsidRPr="00E26753" w:rsidRDefault="00E90113" w:rsidP="00E77872">
            <w:pPr>
              <w:spacing w:line="276" w:lineRule="auto"/>
              <w:jc w:val="center"/>
              <w:rPr>
                <w:b/>
              </w:rPr>
            </w:pPr>
          </w:p>
        </w:tc>
        <w:tc>
          <w:tcPr>
            <w:tcW w:w="1134" w:type="dxa"/>
            <w:vMerge/>
            <w:tcBorders>
              <w:bottom w:val="single" w:sz="4" w:space="0" w:color="auto"/>
            </w:tcBorders>
            <w:shd w:val="clear" w:color="auto" w:fill="FFFFFF" w:themeFill="background1"/>
          </w:tcPr>
          <w:p w:rsidR="00E90113" w:rsidRPr="00E26753" w:rsidRDefault="00E90113" w:rsidP="00E77872">
            <w:pPr>
              <w:spacing w:line="276" w:lineRule="auto"/>
              <w:jc w:val="center"/>
              <w:rPr>
                <w:b/>
              </w:rPr>
            </w:pPr>
          </w:p>
        </w:tc>
        <w:tc>
          <w:tcPr>
            <w:tcW w:w="1275" w:type="dxa"/>
            <w:tcBorders>
              <w:bottom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rPr>
                <w:rFonts w:cs="Arial"/>
                <w:b/>
                <w:color w:val="000000"/>
              </w:rPr>
            </w:pPr>
            <w:r w:rsidRPr="00E26753">
              <w:rPr>
                <w:rFonts w:cs="Arial"/>
                <w:b/>
                <w:color w:val="000000"/>
              </w:rPr>
              <w:t>Percentage</w:t>
            </w:r>
          </w:p>
        </w:tc>
        <w:tc>
          <w:tcPr>
            <w:tcW w:w="1701"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60.4%</w:t>
            </w:r>
          </w:p>
        </w:tc>
        <w:tc>
          <w:tcPr>
            <w:tcW w:w="1701"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39.6%</w:t>
            </w:r>
          </w:p>
        </w:tc>
        <w:tc>
          <w:tcPr>
            <w:tcW w:w="2061"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100.0%</w:t>
            </w:r>
          </w:p>
        </w:tc>
      </w:tr>
      <w:tr w:rsidR="00E90113" w:rsidRPr="00E26753" w:rsidTr="00E77872">
        <w:trPr>
          <w:trHeight w:val="265"/>
          <w:jc w:val="center"/>
        </w:trPr>
        <w:tc>
          <w:tcPr>
            <w:tcW w:w="832" w:type="dxa"/>
            <w:vMerge w:val="restart"/>
            <w:tcBorders>
              <w:top w:val="single" w:sz="4" w:space="0" w:color="auto"/>
              <w:bottom w:val="single" w:sz="4" w:space="0" w:color="auto"/>
            </w:tcBorders>
          </w:tcPr>
          <w:p w:rsidR="00E90113" w:rsidRPr="00E26753" w:rsidRDefault="00E90113" w:rsidP="00E77872">
            <w:pPr>
              <w:spacing w:line="276" w:lineRule="auto"/>
              <w:rPr>
                <w:b/>
              </w:rPr>
            </w:pPr>
            <w:r w:rsidRPr="00E26753">
              <w:rPr>
                <w:b/>
              </w:rPr>
              <w:t>France</w:t>
            </w:r>
          </w:p>
        </w:tc>
        <w:tc>
          <w:tcPr>
            <w:tcW w:w="1134" w:type="dxa"/>
            <w:vMerge w:val="restart"/>
            <w:tcBorders>
              <w:top w:val="single" w:sz="4" w:space="0" w:color="auto"/>
            </w:tcBorders>
          </w:tcPr>
          <w:p w:rsidR="00E90113" w:rsidRPr="00E26753" w:rsidRDefault="00E90113" w:rsidP="00E77872">
            <w:pPr>
              <w:spacing w:line="276" w:lineRule="auto"/>
              <w:rPr>
                <w:b/>
                <w:i/>
              </w:rPr>
            </w:pPr>
            <w:r w:rsidRPr="00E26753">
              <w:rPr>
                <w:rFonts w:cs="Arial"/>
                <w:b/>
                <w:color w:val="000000"/>
              </w:rPr>
              <w:t>Male</w:t>
            </w:r>
          </w:p>
        </w:tc>
        <w:tc>
          <w:tcPr>
            <w:tcW w:w="1275" w:type="dxa"/>
            <w:tcBorders>
              <w:top w:val="single" w:sz="4" w:space="0" w:color="auto"/>
            </w:tcBorders>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Borders>
              <w:top w:val="single" w:sz="4" w:space="0" w:color="auto"/>
            </w:tcBorders>
            <w:vAlign w:val="center"/>
          </w:tcPr>
          <w:p w:rsidR="00E90113" w:rsidRPr="00E26753" w:rsidRDefault="00E90113" w:rsidP="00E77872">
            <w:pPr>
              <w:spacing w:line="276" w:lineRule="auto"/>
              <w:jc w:val="right"/>
            </w:pPr>
            <w:r w:rsidRPr="00E26753">
              <w:t>42</w:t>
            </w:r>
          </w:p>
        </w:tc>
        <w:tc>
          <w:tcPr>
            <w:tcW w:w="1701" w:type="dxa"/>
            <w:tcBorders>
              <w:top w:val="single" w:sz="4" w:space="0" w:color="auto"/>
            </w:tcBorders>
            <w:vAlign w:val="center"/>
          </w:tcPr>
          <w:p w:rsidR="00E90113" w:rsidRPr="00E26753" w:rsidRDefault="00E90113" w:rsidP="00E77872">
            <w:pPr>
              <w:spacing w:line="276" w:lineRule="auto"/>
              <w:jc w:val="right"/>
            </w:pPr>
            <w:r w:rsidRPr="00E26753">
              <w:t>47</w:t>
            </w:r>
          </w:p>
        </w:tc>
        <w:tc>
          <w:tcPr>
            <w:tcW w:w="2061" w:type="dxa"/>
            <w:tcBorders>
              <w:top w:val="single" w:sz="4" w:space="0" w:color="auto"/>
            </w:tcBorders>
            <w:vAlign w:val="center"/>
          </w:tcPr>
          <w:p w:rsidR="00E90113" w:rsidRPr="00E26753" w:rsidRDefault="00E90113" w:rsidP="00E77872">
            <w:pPr>
              <w:spacing w:line="276" w:lineRule="auto"/>
              <w:jc w:val="right"/>
              <w:rPr>
                <w:rFonts w:cs="Arial"/>
                <w:color w:val="000000"/>
              </w:rPr>
            </w:pPr>
            <w:r w:rsidRPr="00E26753">
              <w:rPr>
                <w:rFonts w:cs="Arial"/>
                <w:color w:val="000000"/>
              </w:rPr>
              <w:t>89</w:t>
            </w:r>
          </w:p>
        </w:tc>
      </w:tr>
      <w:tr w:rsidR="00E90113" w:rsidRPr="00E26753" w:rsidTr="00E77872">
        <w:trPr>
          <w:trHeight w:val="121"/>
          <w:jc w:val="center"/>
        </w:trPr>
        <w:tc>
          <w:tcPr>
            <w:tcW w:w="832" w:type="dxa"/>
            <w:vMerge/>
            <w:tcBorders>
              <w:bottom w:val="single" w:sz="4" w:space="0" w:color="auto"/>
            </w:tcBorders>
          </w:tcPr>
          <w:p w:rsidR="00E90113" w:rsidRPr="00E26753" w:rsidRDefault="00E90113" w:rsidP="00E77872">
            <w:pPr>
              <w:spacing w:line="276" w:lineRule="auto"/>
              <w:rPr>
                <w:rFonts w:cs="Arial"/>
                <w:b/>
                <w:color w:val="000000"/>
              </w:rPr>
            </w:pPr>
          </w:p>
        </w:tc>
        <w:tc>
          <w:tcPr>
            <w:tcW w:w="1134" w:type="dxa"/>
            <w:vMerge/>
          </w:tcPr>
          <w:p w:rsidR="00E90113" w:rsidRPr="00E26753" w:rsidRDefault="00E90113" w:rsidP="00E77872">
            <w:pPr>
              <w:spacing w:line="276" w:lineRule="auto"/>
              <w:rPr>
                <w:rFonts w:cs="Arial"/>
                <w:b/>
                <w:color w:val="000000"/>
              </w:rPr>
            </w:pPr>
          </w:p>
        </w:tc>
        <w:tc>
          <w:tcPr>
            <w:tcW w:w="1275"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vAlign w:val="center"/>
          </w:tcPr>
          <w:p w:rsidR="00E90113" w:rsidRPr="00E26753" w:rsidRDefault="00E90113" w:rsidP="00E77872">
            <w:pPr>
              <w:spacing w:line="276" w:lineRule="auto"/>
              <w:jc w:val="right"/>
            </w:pPr>
            <w:r w:rsidRPr="00E26753">
              <w:t>47.2%</w:t>
            </w:r>
          </w:p>
        </w:tc>
        <w:tc>
          <w:tcPr>
            <w:tcW w:w="1701" w:type="dxa"/>
            <w:vAlign w:val="center"/>
          </w:tcPr>
          <w:p w:rsidR="00E90113" w:rsidRPr="00E26753" w:rsidRDefault="00E90113" w:rsidP="00E77872">
            <w:pPr>
              <w:spacing w:line="276" w:lineRule="auto"/>
              <w:jc w:val="right"/>
            </w:pPr>
            <w:r w:rsidRPr="00E26753">
              <w:t>52.8%</w:t>
            </w:r>
          </w:p>
        </w:tc>
        <w:tc>
          <w:tcPr>
            <w:tcW w:w="2061" w:type="dxa"/>
            <w:vAlign w:val="center"/>
          </w:tcPr>
          <w:p w:rsidR="00E90113" w:rsidRPr="00E26753" w:rsidRDefault="00E90113" w:rsidP="00E77872">
            <w:pPr>
              <w:spacing w:line="276" w:lineRule="auto"/>
              <w:jc w:val="right"/>
            </w:pPr>
            <w:r w:rsidRPr="00E26753">
              <w:t>100.0%</w:t>
            </w:r>
          </w:p>
        </w:tc>
      </w:tr>
      <w:tr w:rsidR="00E90113" w:rsidRPr="00E26753" w:rsidTr="00E77872">
        <w:trPr>
          <w:trHeight w:val="121"/>
          <w:jc w:val="center"/>
        </w:trPr>
        <w:tc>
          <w:tcPr>
            <w:tcW w:w="832" w:type="dxa"/>
            <w:vMerge/>
            <w:tcBorders>
              <w:bottom w:val="single" w:sz="4" w:space="0" w:color="auto"/>
            </w:tcBorders>
          </w:tcPr>
          <w:p w:rsidR="00E90113" w:rsidRPr="00E26753" w:rsidRDefault="00E90113" w:rsidP="00E77872">
            <w:pPr>
              <w:spacing w:line="276" w:lineRule="auto"/>
              <w:rPr>
                <w:rFonts w:cs="Arial"/>
                <w:b/>
                <w:color w:val="000000"/>
              </w:rPr>
            </w:pPr>
          </w:p>
        </w:tc>
        <w:tc>
          <w:tcPr>
            <w:tcW w:w="1134" w:type="dxa"/>
            <w:vMerge w:val="restart"/>
          </w:tcPr>
          <w:p w:rsidR="00E90113" w:rsidRPr="00E26753" w:rsidRDefault="00E90113" w:rsidP="00E77872">
            <w:pPr>
              <w:spacing w:line="276" w:lineRule="auto"/>
              <w:rPr>
                <w:rFonts w:cs="Arial"/>
                <w:b/>
                <w:color w:val="000000"/>
              </w:rPr>
            </w:pPr>
            <w:r w:rsidRPr="00E26753">
              <w:rPr>
                <w:rFonts w:cs="Arial"/>
                <w:b/>
                <w:color w:val="000000"/>
              </w:rPr>
              <w:t>Female</w:t>
            </w:r>
          </w:p>
        </w:tc>
        <w:tc>
          <w:tcPr>
            <w:tcW w:w="1275"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vAlign w:val="center"/>
          </w:tcPr>
          <w:p w:rsidR="00E90113" w:rsidRPr="00E26753" w:rsidRDefault="00E90113" w:rsidP="00E77872">
            <w:pPr>
              <w:spacing w:line="276" w:lineRule="auto"/>
              <w:jc w:val="right"/>
            </w:pPr>
            <w:r w:rsidRPr="00E26753">
              <w:t>41</w:t>
            </w:r>
          </w:p>
        </w:tc>
        <w:tc>
          <w:tcPr>
            <w:tcW w:w="1701" w:type="dxa"/>
            <w:vAlign w:val="center"/>
          </w:tcPr>
          <w:p w:rsidR="00E90113" w:rsidRPr="00E26753" w:rsidRDefault="00E90113" w:rsidP="00E77872">
            <w:pPr>
              <w:spacing w:line="276" w:lineRule="auto"/>
              <w:jc w:val="right"/>
            </w:pPr>
            <w:r w:rsidRPr="00E26753">
              <w:t>36</w:t>
            </w:r>
          </w:p>
        </w:tc>
        <w:tc>
          <w:tcPr>
            <w:tcW w:w="2061" w:type="dxa"/>
            <w:vAlign w:val="center"/>
          </w:tcPr>
          <w:p w:rsidR="00E90113" w:rsidRPr="00E26753" w:rsidRDefault="00E90113" w:rsidP="00E77872">
            <w:pPr>
              <w:spacing w:line="276" w:lineRule="auto"/>
              <w:jc w:val="right"/>
              <w:rPr>
                <w:rFonts w:cs="Arial"/>
                <w:color w:val="000000"/>
              </w:rPr>
            </w:pPr>
            <w:r w:rsidRPr="00E26753">
              <w:rPr>
                <w:rFonts w:cs="Arial"/>
                <w:color w:val="000000"/>
              </w:rPr>
              <w:t>77</w:t>
            </w:r>
          </w:p>
        </w:tc>
      </w:tr>
      <w:tr w:rsidR="00E90113" w:rsidRPr="00E26753" w:rsidTr="00E77872">
        <w:trPr>
          <w:trHeight w:val="121"/>
          <w:jc w:val="center"/>
        </w:trPr>
        <w:tc>
          <w:tcPr>
            <w:tcW w:w="832" w:type="dxa"/>
            <w:vMerge/>
            <w:tcBorders>
              <w:bottom w:val="single" w:sz="4" w:space="0" w:color="auto"/>
            </w:tcBorders>
          </w:tcPr>
          <w:p w:rsidR="00E90113" w:rsidRPr="00E26753" w:rsidRDefault="00E90113" w:rsidP="00E77872">
            <w:pPr>
              <w:spacing w:line="276" w:lineRule="auto"/>
              <w:rPr>
                <w:b/>
              </w:rPr>
            </w:pPr>
          </w:p>
        </w:tc>
        <w:tc>
          <w:tcPr>
            <w:tcW w:w="1134" w:type="dxa"/>
            <w:vMerge/>
            <w:tcBorders>
              <w:bottom w:val="single" w:sz="4" w:space="0" w:color="auto"/>
            </w:tcBorders>
          </w:tcPr>
          <w:p w:rsidR="00E90113" w:rsidRPr="00E26753" w:rsidRDefault="00E90113" w:rsidP="00E77872">
            <w:pPr>
              <w:spacing w:line="276" w:lineRule="auto"/>
              <w:rPr>
                <w:b/>
              </w:rPr>
            </w:pPr>
          </w:p>
        </w:tc>
        <w:tc>
          <w:tcPr>
            <w:tcW w:w="1275" w:type="dxa"/>
            <w:tcBorders>
              <w:bottom w:val="single" w:sz="4" w:space="0" w:color="auto"/>
            </w:tcBorders>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Borders>
              <w:bottom w:val="single" w:sz="4" w:space="0" w:color="auto"/>
            </w:tcBorders>
            <w:vAlign w:val="center"/>
          </w:tcPr>
          <w:p w:rsidR="00E90113" w:rsidRPr="00E26753" w:rsidRDefault="00E90113" w:rsidP="00E77872">
            <w:pPr>
              <w:spacing w:line="276" w:lineRule="auto"/>
              <w:jc w:val="right"/>
              <w:rPr>
                <w:rFonts w:cs="Arial"/>
                <w:color w:val="000000"/>
              </w:rPr>
            </w:pPr>
            <w:r w:rsidRPr="00E26753">
              <w:rPr>
                <w:rFonts w:cs="Arial"/>
                <w:color w:val="000000"/>
              </w:rPr>
              <w:t>53.3%</w:t>
            </w:r>
          </w:p>
        </w:tc>
        <w:tc>
          <w:tcPr>
            <w:tcW w:w="1701" w:type="dxa"/>
            <w:tcBorders>
              <w:bottom w:val="single" w:sz="4" w:space="0" w:color="auto"/>
            </w:tcBorders>
            <w:vAlign w:val="center"/>
          </w:tcPr>
          <w:p w:rsidR="00E90113" w:rsidRPr="00E26753" w:rsidRDefault="00E90113" w:rsidP="00E77872">
            <w:pPr>
              <w:spacing w:line="276" w:lineRule="auto"/>
              <w:jc w:val="right"/>
              <w:rPr>
                <w:rFonts w:cs="Arial"/>
                <w:color w:val="000000"/>
              </w:rPr>
            </w:pPr>
            <w:r w:rsidRPr="00E26753">
              <w:rPr>
                <w:rFonts w:cs="Arial"/>
                <w:color w:val="000000"/>
              </w:rPr>
              <w:t>46.7%</w:t>
            </w:r>
          </w:p>
        </w:tc>
        <w:tc>
          <w:tcPr>
            <w:tcW w:w="2061" w:type="dxa"/>
            <w:tcBorders>
              <w:bottom w:val="single" w:sz="4" w:space="0" w:color="auto"/>
            </w:tcBorders>
            <w:vAlign w:val="center"/>
          </w:tcPr>
          <w:p w:rsidR="00E90113" w:rsidRPr="00E26753" w:rsidRDefault="00E90113" w:rsidP="00E77872">
            <w:pPr>
              <w:spacing w:line="276" w:lineRule="auto"/>
              <w:jc w:val="right"/>
              <w:rPr>
                <w:rFonts w:cs="Arial"/>
                <w:color w:val="000000"/>
              </w:rPr>
            </w:pPr>
            <w:r w:rsidRPr="00E26753">
              <w:rPr>
                <w:rFonts w:cs="Arial"/>
                <w:color w:val="000000"/>
              </w:rPr>
              <w:t>100.0%</w:t>
            </w:r>
          </w:p>
        </w:tc>
      </w:tr>
      <w:tr w:rsidR="00E90113" w:rsidRPr="00E26753" w:rsidTr="00E77872">
        <w:trPr>
          <w:trHeight w:val="121"/>
          <w:jc w:val="center"/>
        </w:trPr>
        <w:tc>
          <w:tcPr>
            <w:tcW w:w="832" w:type="dxa"/>
            <w:vMerge/>
            <w:tcBorders>
              <w:bottom w:val="single" w:sz="4" w:space="0" w:color="auto"/>
            </w:tcBorders>
          </w:tcPr>
          <w:p w:rsidR="00E90113" w:rsidRPr="00E26753" w:rsidRDefault="00E90113" w:rsidP="00E77872">
            <w:pPr>
              <w:spacing w:line="276" w:lineRule="auto"/>
              <w:rPr>
                <w:b/>
              </w:rPr>
            </w:pPr>
          </w:p>
        </w:tc>
        <w:tc>
          <w:tcPr>
            <w:tcW w:w="1134" w:type="dxa"/>
            <w:vMerge w:val="restart"/>
            <w:tcBorders>
              <w:top w:val="single" w:sz="4" w:space="0" w:color="auto"/>
            </w:tcBorders>
            <w:shd w:val="clear" w:color="auto" w:fill="FFFFFF" w:themeFill="background1"/>
          </w:tcPr>
          <w:p w:rsidR="00E90113" w:rsidRPr="00E26753" w:rsidRDefault="00E90113" w:rsidP="00E77872">
            <w:pPr>
              <w:spacing w:line="276" w:lineRule="auto"/>
              <w:rPr>
                <w:b/>
              </w:rPr>
            </w:pPr>
            <w:r w:rsidRPr="00E26753">
              <w:rPr>
                <w:rFonts w:cs="Arial"/>
                <w:b/>
                <w:color w:val="000000"/>
              </w:rPr>
              <w:t>Total</w:t>
            </w:r>
          </w:p>
        </w:tc>
        <w:tc>
          <w:tcPr>
            <w:tcW w:w="1275" w:type="dxa"/>
            <w:tcBorders>
              <w:top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rPr>
                <w:rFonts w:cs="Arial"/>
                <w:b/>
                <w:color w:val="000000"/>
              </w:rPr>
            </w:pPr>
            <w:r w:rsidRPr="00E26753">
              <w:rPr>
                <w:rFonts w:cs="Arial"/>
                <w:b/>
                <w:color w:val="000000"/>
              </w:rPr>
              <w:t>Number</w:t>
            </w:r>
          </w:p>
        </w:tc>
        <w:tc>
          <w:tcPr>
            <w:tcW w:w="1701" w:type="dxa"/>
            <w:tcBorders>
              <w:top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83</w:t>
            </w:r>
          </w:p>
        </w:tc>
        <w:tc>
          <w:tcPr>
            <w:tcW w:w="1701" w:type="dxa"/>
            <w:tcBorders>
              <w:top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83</w:t>
            </w:r>
          </w:p>
        </w:tc>
        <w:tc>
          <w:tcPr>
            <w:tcW w:w="2061" w:type="dxa"/>
            <w:tcBorders>
              <w:top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166</w:t>
            </w:r>
          </w:p>
        </w:tc>
      </w:tr>
      <w:tr w:rsidR="00E90113" w:rsidRPr="00E26753" w:rsidTr="00E77872">
        <w:trPr>
          <w:trHeight w:val="121"/>
          <w:jc w:val="center"/>
        </w:trPr>
        <w:tc>
          <w:tcPr>
            <w:tcW w:w="832" w:type="dxa"/>
            <w:vMerge/>
            <w:tcBorders>
              <w:bottom w:val="single" w:sz="4" w:space="0" w:color="auto"/>
            </w:tcBorders>
          </w:tcPr>
          <w:p w:rsidR="00E90113" w:rsidRPr="00E26753" w:rsidRDefault="00E90113" w:rsidP="00E77872">
            <w:pPr>
              <w:spacing w:line="276" w:lineRule="auto"/>
              <w:rPr>
                <w:b/>
              </w:rPr>
            </w:pPr>
          </w:p>
        </w:tc>
        <w:tc>
          <w:tcPr>
            <w:tcW w:w="1134" w:type="dxa"/>
            <w:vMerge/>
            <w:tcBorders>
              <w:bottom w:val="single" w:sz="4" w:space="0" w:color="auto"/>
            </w:tcBorders>
            <w:shd w:val="clear" w:color="auto" w:fill="FFFFFF" w:themeFill="background1"/>
          </w:tcPr>
          <w:p w:rsidR="00E90113" w:rsidRPr="00E26753" w:rsidRDefault="00E90113" w:rsidP="00E77872">
            <w:pPr>
              <w:spacing w:line="276" w:lineRule="auto"/>
              <w:rPr>
                <w:b/>
              </w:rPr>
            </w:pPr>
          </w:p>
        </w:tc>
        <w:tc>
          <w:tcPr>
            <w:tcW w:w="1275" w:type="dxa"/>
            <w:tcBorders>
              <w:bottom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rPr>
                <w:rFonts w:cs="Arial"/>
                <w:b/>
                <w:color w:val="000000"/>
              </w:rPr>
            </w:pPr>
            <w:r w:rsidRPr="00E26753">
              <w:rPr>
                <w:rFonts w:cs="Arial"/>
                <w:b/>
                <w:color w:val="000000"/>
              </w:rPr>
              <w:t>Percentage</w:t>
            </w:r>
          </w:p>
        </w:tc>
        <w:tc>
          <w:tcPr>
            <w:tcW w:w="1701" w:type="dxa"/>
            <w:tcBorders>
              <w:bottom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50.0%</w:t>
            </w:r>
          </w:p>
        </w:tc>
        <w:tc>
          <w:tcPr>
            <w:tcW w:w="1701" w:type="dxa"/>
            <w:tcBorders>
              <w:bottom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50.0%</w:t>
            </w:r>
          </w:p>
        </w:tc>
        <w:tc>
          <w:tcPr>
            <w:tcW w:w="2061" w:type="dxa"/>
            <w:tcBorders>
              <w:bottom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100.0%</w:t>
            </w:r>
          </w:p>
        </w:tc>
      </w:tr>
    </w:tbl>
    <w:p w:rsidR="00E90113" w:rsidRDefault="00E90113" w:rsidP="00101AE7">
      <w:pPr>
        <w:spacing w:line="240" w:lineRule="auto"/>
        <w:rPr>
          <w:rFonts w:cs="Times New Roman"/>
        </w:rPr>
      </w:pPr>
    </w:p>
    <w:p w:rsidR="00B2376C" w:rsidRDefault="00B2376C" w:rsidP="00B2376C">
      <w:pPr>
        <w:spacing w:after="0" w:line="480" w:lineRule="auto"/>
        <w:ind w:firstLine="720"/>
      </w:pPr>
      <w:r>
        <w:rPr>
          <w:rFonts w:cs="Times New Roman"/>
        </w:rPr>
        <w:t>The UK sample wa</w:t>
      </w:r>
      <w:r w:rsidRPr="005B4EF1">
        <w:rPr>
          <w:rFonts w:cs="Times New Roman"/>
        </w:rPr>
        <w:t xml:space="preserve">s ethnically diverse, with 56% </w:t>
      </w:r>
      <w:r>
        <w:rPr>
          <w:rFonts w:cs="Times New Roman"/>
        </w:rPr>
        <w:t xml:space="preserve">being White British or </w:t>
      </w:r>
      <w:r w:rsidRPr="005B4EF1">
        <w:rPr>
          <w:rFonts w:cs="Times New Roman"/>
        </w:rPr>
        <w:t xml:space="preserve">Irish, 30% Black, 4% Asian, 1% Mixed and 8% </w:t>
      </w:r>
      <w:r>
        <w:rPr>
          <w:rFonts w:cs="Times New Roman"/>
        </w:rPr>
        <w:t>classified as ‘</w:t>
      </w:r>
      <w:r w:rsidRPr="005B4EF1">
        <w:rPr>
          <w:rFonts w:cs="Times New Roman"/>
        </w:rPr>
        <w:t>other</w:t>
      </w:r>
      <w:r>
        <w:rPr>
          <w:rFonts w:cs="Times New Roman"/>
        </w:rPr>
        <w:t>’ – mainly white EU/EEA or Commonwealth citizens</w:t>
      </w:r>
      <w:r w:rsidRPr="005B4EF1">
        <w:rPr>
          <w:rFonts w:cs="Times New Roman"/>
        </w:rPr>
        <w:t>.</w:t>
      </w:r>
      <w:r>
        <w:rPr>
          <w:rFonts w:cs="Times New Roman"/>
        </w:rPr>
        <w:t xml:space="preserve"> </w:t>
      </w:r>
      <w:r w:rsidRPr="005B4EF1">
        <w:rPr>
          <w:rFonts w:cs="Times New Roman"/>
        </w:rPr>
        <w:t xml:space="preserve">Late diagnosis was more common in </w:t>
      </w:r>
      <w:r>
        <w:rPr>
          <w:rFonts w:cs="Times New Roman"/>
        </w:rPr>
        <w:t xml:space="preserve">the non-British </w:t>
      </w:r>
      <w:r w:rsidRPr="005B4EF1">
        <w:rPr>
          <w:rFonts w:cs="Times New Roman"/>
        </w:rPr>
        <w:t xml:space="preserve">ethnic minority groups (70.2%) compared with the </w:t>
      </w:r>
      <w:r w:rsidRPr="005B4EF1">
        <w:rPr>
          <w:rFonts w:cs="Times New Roman"/>
        </w:rPr>
        <w:lastRenderedPageBreak/>
        <w:t>White</w:t>
      </w:r>
      <w:r>
        <w:rPr>
          <w:rFonts w:cs="Times New Roman"/>
        </w:rPr>
        <w:t xml:space="preserve"> British/Irish</w:t>
      </w:r>
      <w:r w:rsidRPr="005B4EF1">
        <w:rPr>
          <w:rFonts w:cs="Times New Roman"/>
        </w:rPr>
        <w:t xml:space="preserve"> group (53.0%)</w:t>
      </w:r>
      <w:r>
        <w:rPr>
          <w:rFonts w:cs="Times New Roman"/>
        </w:rPr>
        <w:t xml:space="preserve"> although this </w:t>
      </w:r>
      <w:r w:rsidRPr="005B4EF1">
        <w:rPr>
          <w:rFonts w:cs="Times New Roman"/>
        </w:rPr>
        <w:t xml:space="preserve">difference </w:t>
      </w:r>
      <w:r>
        <w:rPr>
          <w:rFonts w:cs="Times New Roman"/>
        </w:rPr>
        <w:t>is only marginally significant. T</w:t>
      </w:r>
      <w:r w:rsidRPr="005B4EF1">
        <w:rPr>
          <w:rFonts w:cs="Times New Roman"/>
        </w:rPr>
        <w:t xml:space="preserve">he most frequent categories </w:t>
      </w:r>
      <w:r>
        <w:rPr>
          <w:rFonts w:cs="Times New Roman"/>
        </w:rPr>
        <w:t xml:space="preserve">in relation to transmission risk in the UK sample were MSMs and </w:t>
      </w:r>
      <w:r w:rsidRPr="005B4EF1">
        <w:rPr>
          <w:rFonts w:cs="Times New Roman"/>
        </w:rPr>
        <w:t>heterosexual</w:t>
      </w:r>
      <w:r>
        <w:rPr>
          <w:rFonts w:cs="Times New Roman"/>
        </w:rPr>
        <w:t xml:space="preserve"> females </w:t>
      </w:r>
      <w:r w:rsidRPr="005B4EF1">
        <w:rPr>
          <w:rFonts w:cs="Times New Roman"/>
        </w:rPr>
        <w:t xml:space="preserve">with </w:t>
      </w:r>
      <w:r>
        <w:rPr>
          <w:rFonts w:cs="Times New Roman"/>
        </w:rPr>
        <w:t xml:space="preserve">only 5 </w:t>
      </w:r>
      <w:r w:rsidRPr="005B4EF1">
        <w:rPr>
          <w:rFonts w:cs="Times New Roman"/>
        </w:rPr>
        <w:t>I</w:t>
      </w:r>
      <w:r>
        <w:rPr>
          <w:rFonts w:cs="Times New Roman"/>
        </w:rPr>
        <w:t>V</w:t>
      </w:r>
      <w:r w:rsidRPr="005B4EF1">
        <w:rPr>
          <w:rFonts w:cs="Times New Roman"/>
        </w:rPr>
        <w:t>DU</w:t>
      </w:r>
      <w:r>
        <w:rPr>
          <w:rFonts w:cs="Times New Roman"/>
        </w:rPr>
        <w:t xml:space="preserve">s in the sample. The </w:t>
      </w:r>
      <w:r w:rsidRPr="005B4EF1">
        <w:rPr>
          <w:rFonts w:cs="Times New Roman"/>
        </w:rPr>
        <w:t xml:space="preserve">profile of </w:t>
      </w:r>
      <w:r>
        <w:rPr>
          <w:rFonts w:cs="Times New Roman"/>
        </w:rPr>
        <w:t xml:space="preserve">the </w:t>
      </w:r>
      <w:r w:rsidRPr="005B4EF1">
        <w:rPr>
          <w:rFonts w:cs="Times New Roman"/>
        </w:rPr>
        <w:t xml:space="preserve">transmission groups </w:t>
      </w:r>
      <w:r>
        <w:rPr>
          <w:rFonts w:cs="Times New Roman"/>
        </w:rPr>
        <w:t xml:space="preserve">varies </w:t>
      </w:r>
      <w:r w:rsidRPr="005B4EF1">
        <w:rPr>
          <w:rFonts w:cs="Times New Roman"/>
        </w:rPr>
        <w:t>markedly by country of birth</w:t>
      </w:r>
      <w:r>
        <w:rPr>
          <w:rFonts w:cs="Times New Roman"/>
        </w:rPr>
        <w:t xml:space="preserve"> however, with the </w:t>
      </w:r>
      <w:r w:rsidRPr="005B4EF1">
        <w:rPr>
          <w:rFonts w:cs="Times New Roman"/>
        </w:rPr>
        <w:t xml:space="preserve">largest </w:t>
      </w:r>
      <w:r>
        <w:rPr>
          <w:rFonts w:cs="Times New Roman"/>
        </w:rPr>
        <w:t xml:space="preserve">UK-born group being </w:t>
      </w:r>
      <w:r w:rsidRPr="005B4EF1">
        <w:rPr>
          <w:rFonts w:cs="Times New Roman"/>
        </w:rPr>
        <w:t>MSM</w:t>
      </w:r>
      <w:r>
        <w:rPr>
          <w:rFonts w:cs="Times New Roman"/>
        </w:rPr>
        <w:t>s</w:t>
      </w:r>
      <w:r w:rsidRPr="005B4EF1">
        <w:rPr>
          <w:rFonts w:cs="Times New Roman"/>
        </w:rPr>
        <w:t xml:space="preserve"> (54%), </w:t>
      </w:r>
      <w:r>
        <w:rPr>
          <w:rFonts w:cs="Times New Roman"/>
        </w:rPr>
        <w:t xml:space="preserve">and heterosexuals representing the </w:t>
      </w:r>
      <w:r w:rsidRPr="005B4EF1">
        <w:rPr>
          <w:rFonts w:cs="Times New Roman"/>
        </w:rPr>
        <w:t xml:space="preserve">largest group </w:t>
      </w:r>
      <w:r>
        <w:rPr>
          <w:rFonts w:cs="Times New Roman"/>
        </w:rPr>
        <w:t xml:space="preserve">diagnosed with HIV amongst non-UK born individuals </w:t>
      </w:r>
      <w:r w:rsidRPr="005B4EF1">
        <w:rPr>
          <w:rFonts w:cs="Times New Roman"/>
        </w:rPr>
        <w:t>(81%)</w:t>
      </w:r>
      <w:r>
        <w:rPr>
          <w:rFonts w:cs="Times New Roman"/>
        </w:rPr>
        <w:t>, predominantly from Africa and Eastern Europe (Table 3)</w:t>
      </w:r>
      <w:r w:rsidRPr="005B4EF1">
        <w:rPr>
          <w:rFonts w:cs="Times New Roman"/>
        </w:rPr>
        <w:t>.</w:t>
      </w:r>
    </w:p>
    <w:p w:rsidR="00E90113" w:rsidRPr="0051401C" w:rsidRDefault="00E90113" w:rsidP="00101AE7">
      <w:pPr>
        <w:spacing w:after="0" w:line="480" w:lineRule="auto"/>
        <w:rPr>
          <w:rFonts w:cs="Times New Roman"/>
          <w:b/>
        </w:rPr>
      </w:pPr>
      <w:r w:rsidRPr="0051401C">
        <w:rPr>
          <w:rFonts w:cs="Times New Roman"/>
          <w:b/>
        </w:rPr>
        <w:t>Table 3. Likely transmission route CD4 count ≤350mm³ versus CD4 count &gt;350mm³</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894"/>
        <w:gridCol w:w="1363"/>
        <w:gridCol w:w="1701"/>
        <w:gridCol w:w="1701"/>
        <w:gridCol w:w="1373"/>
      </w:tblGrid>
      <w:tr w:rsidR="00E90113" w:rsidRPr="00E26753" w:rsidTr="00E77872">
        <w:trPr>
          <w:trHeight w:val="530"/>
          <w:jc w:val="center"/>
        </w:trPr>
        <w:tc>
          <w:tcPr>
            <w:tcW w:w="950" w:type="dxa"/>
            <w:tcBorders>
              <w:top w:val="single" w:sz="4" w:space="0" w:color="auto"/>
              <w:bottom w:val="single" w:sz="4" w:space="0" w:color="auto"/>
            </w:tcBorders>
            <w:shd w:val="clear" w:color="auto" w:fill="FFFFFF" w:themeFill="background1"/>
          </w:tcPr>
          <w:p w:rsidR="00E90113" w:rsidRPr="00E26753" w:rsidRDefault="00E90113" w:rsidP="00E77872">
            <w:pPr>
              <w:spacing w:line="276" w:lineRule="auto"/>
              <w:rPr>
                <w:rFonts w:cs="Arial"/>
                <w:b/>
                <w:i/>
                <w:color w:val="000000"/>
              </w:rPr>
            </w:pPr>
          </w:p>
        </w:tc>
        <w:tc>
          <w:tcPr>
            <w:tcW w:w="1855"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rPr>
                <w:rFonts w:cs="Arial"/>
                <w:color w:val="000000"/>
              </w:rPr>
            </w:pPr>
          </w:p>
        </w:tc>
        <w:tc>
          <w:tcPr>
            <w:tcW w:w="1167"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rPr>
                <w:rFonts w:cs="Arial"/>
                <w:color w:val="000000"/>
              </w:rPr>
            </w:pPr>
          </w:p>
        </w:tc>
        <w:tc>
          <w:tcPr>
            <w:tcW w:w="1701"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CD4 count ≤350mm³</w:t>
            </w:r>
          </w:p>
        </w:tc>
        <w:tc>
          <w:tcPr>
            <w:tcW w:w="1701"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CD4 count &gt;350mm³</w:t>
            </w:r>
          </w:p>
        </w:tc>
        <w:tc>
          <w:tcPr>
            <w:tcW w:w="1373" w:type="dxa"/>
            <w:tcBorders>
              <w:top w:val="single" w:sz="4" w:space="0" w:color="auto"/>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Total</w:t>
            </w:r>
          </w:p>
        </w:tc>
      </w:tr>
      <w:tr w:rsidR="00E90113" w:rsidRPr="00E26753" w:rsidTr="00E77872">
        <w:trPr>
          <w:trHeight w:val="274"/>
          <w:jc w:val="center"/>
        </w:trPr>
        <w:tc>
          <w:tcPr>
            <w:tcW w:w="950" w:type="dxa"/>
            <w:vMerge w:val="restart"/>
            <w:tcBorders>
              <w:top w:val="single" w:sz="4" w:space="0" w:color="auto"/>
            </w:tcBorders>
          </w:tcPr>
          <w:p w:rsidR="00E90113" w:rsidRPr="00E26753" w:rsidRDefault="00E90113" w:rsidP="00E77872">
            <w:pPr>
              <w:spacing w:line="276" w:lineRule="auto"/>
              <w:rPr>
                <w:rFonts w:cs="Arial"/>
                <w:b/>
                <w:color w:val="000000"/>
              </w:rPr>
            </w:pPr>
            <w:r w:rsidRPr="00E26753">
              <w:rPr>
                <w:rFonts w:cs="Arial"/>
                <w:b/>
                <w:color w:val="000000"/>
              </w:rPr>
              <w:t>UK</w:t>
            </w:r>
          </w:p>
        </w:tc>
        <w:tc>
          <w:tcPr>
            <w:tcW w:w="1855" w:type="dxa"/>
            <w:vMerge w:val="restart"/>
            <w:tcBorders>
              <w:top w:val="single" w:sz="4" w:space="0" w:color="auto"/>
            </w:tcBorders>
          </w:tcPr>
          <w:p w:rsidR="00E90113" w:rsidRPr="00E26753" w:rsidRDefault="00E90113" w:rsidP="00E77872">
            <w:pPr>
              <w:spacing w:line="276" w:lineRule="auto"/>
              <w:rPr>
                <w:b/>
              </w:rPr>
            </w:pPr>
            <w:r w:rsidRPr="00E26753">
              <w:rPr>
                <w:rFonts w:cs="Arial"/>
                <w:b/>
                <w:color w:val="000000"/>
              </w:rPr>
              <w:t>MSMs</w:t>
            </w:r>
          </w:p>
        </w:tc>
        <w:tc>
          <w:tcPr>
            <w:tcW w:w="1167" w:type="dxa"/>
            <w:tcBorders>
              <w:top w:val="single" w:sz="4" w:space="0" w:color="auto"/>
            </w:tcBorders>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44</w:t>
            </w:r>
          </w:p>
        </w:tc>
        <w:tc>
          <w:tcPr>
            <w:tcW w:w="1701"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44</w:t>
            </w:r>
          </w:p>
        </w:tc>
        <w:tc>
          <w:tcPr>
            <w:tcW w:w="1373"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88</w:t>
            </w:r>
          </w:p>
        </w:tc>
      </w:tr>
      <w:tr w:rsidR="00E90113" w:rsidRPr="00E26753" w:rsidTr="00E77872">
        <w:trPr>
          <w:trHeight w:val="121"/>
          <w:jc w:val="center"/>
        </w:trPr>
        <w:tc>
          <w:tcPr>
            <w:tcW w:w="950" w:type="dxa"/>
            <w:vMerge/>
          </w:tcPr>
          <w:p w:rsidR="00E90113" w:rsidRPr="00E26753" w:rsidRDefault="00E90113" w:rsidP="00E77872">
            <w:pPr>
              <w:spacing w:line="276" w:lineRule="auto"/>
              <w:rPr>
                <w:rFonts w:cs="Arial"/>
                <w:b/>
                <w:color w:val="000000"/>
              </w:rPr>
            </w:pPr>
          </w:p>
        </w:tc>
        <w:tc>
          <w:tcPr>
            <w:tcW w:w="1855" w:type="dxa"/>
            <w:vMerge/>
          </w:tcPr>
          <w:p w:rsidR="00E90113" w:rsidRPr="00E26753" w:rsidRDefault="00E90113" w:rsidP="00E77872">
            <w:pPr>
              <w:spacing w:line="276" w:lineRule="auto"/>
              <w:rPr>
                <w:rFonts w:cs="Arial"/>
                <w:b/>
                <w:color w:val="000000"/>
              </w:rPr>
            </w:pP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50.0%</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50.0%</w:t>
            </w:r>
          </w:p>
        </w:tc>
        <w:tc>
          <w:tcPr>
            <w:tcW w:w="1373"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100.0%</w:t>
            </w:r>
          </w:p>
        </w:tc>
      </w:tr>
      <w:tr w:rsidR="00E90113" w:rsidRPr="00E26753" w:rsidTr="00E77872">
        <w:trPr>
          <w:trHeight w:val="121"/>
          <w:jc w:val="center"/>
        </w:trPr>
        <w:tc>
          <w:tcPr>
            <w:tcW w:w="950" w:type="dxa"/>
            <w:vMerge/>
          </w:tcPr>
          <w:p w:rsidR="00E90113" w:rsidRPr="00E26753" w:rsidRDefault="00E90113" w:rsidP="00E77872">
            <w:pPr>
              <w:spacing w:line="276" w:lineRule="auto"/>
              <w:rPr>
                <w:rFonts w:cs="Arial"/>
                <w:b/>
                <w:color w:val="000000"/>
              </w:rPr>
            </w:pPr>
          </w:p>
        </w:tc>
        <w:tc>
          <w:tcPr>
            <w:tcW w:w="1855" w:type="dxa"/>
            <w:vMerge w:val="restart"/>
          </w:tcPr>
          <w:p w:rsidR="00E90113" w:rsidRPr="00E26753" w:rsidRDefault="00E90113" w:rsidP="00E77872">
            <w:pPr>
              <w:spacing w:line="276" w:lineRule="auto"/>
              <w:rPr>
                <w:b/>
              </w:rPr>
            </w:pPr>
            <w:r w:rsidRPr="00E26753">
              <w:rPr>
                <w:rFonts w:cs="Arial"/>
                <w:b/>
                <w:color w:val="000000"/>
              </w:rPr>
              <w:t>Intravenous drug users</w:t>
            </w: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4</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w:t>
            </w:r>
          </w:p>
        </w:tc>
        <w:tc>
          <w:tcPr>
            <w:tcW w:w="1373"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5</w:t>
            </w:r>
          </w:p>
        </w:tc>
      </w:tr>
      <w:tr w:rsidR="00E90113" w:rsidRPr="00E26753" w:rsidTr="00E77872">
        <w:trPr>
          <w:trHeight w:val="121"/>
          <w:jc w:val="center"/>
        </w:trPr>
        <w:tc>
          <w:tcPr>
            <w:tcW w:w="950" w:type="dxa"/>
            <w:vMerge/>
          </w:tcPr>
          <w:p w:rsidR="00E90113" w:rsidRPr="00E26753" w:rsidRDefault="00E90113" w:rsidP="00E77872">
            <w:pPr>
              <w:spacing w:line="276" w:lineRule="auto"/>
              <w:rPr>
                <w:rFonts w:cs="Arial"/>
                <w:b/>
                <w:color w:val="000000"/>
              </w:rPr>
            </w:pPr>
          </w:p>
        </w:tc>
        <w:tc>
          <w:tcPr>
            <w:tcW w:w="1855" w:type="dxa"/>
            <w:vMerge/>
          </w:tcPr>
          <w:p w:rsidR="00E90113" w:rsidRPr="00E26753" w:rsidRDefault="00E90113" w:rsidP="00E77872">
            <w:pPr>
              <w:spacing w:line="276" w:lineRule="auto"/>
              <w:rPr>
                <w:rFonts w:cs="Arial"/>
                <w:b/>
                <w:color w:val="000000"/>
              </w:rPr>
            </w:pP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80.0%</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20.0%</w:t>
            </w:r>
          </w:p>
        </w:tc>
        <w:tc>
          <w:tcPr>
            <w:tcW w:w="1373"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100.0%</w:t>
            </w:r>
          </w:p>
        </w:tc>
      </w:tr>
      <w:tr w:rsidR="00E90113" w:rsidRPr="00E26753" w:rsidTr="00E77872">
        <w:trPr>
          <w:trHeight w:val="121"/>
          <w:jc w:val="center"/>
        </w:trPr>
        <w:tc>
          <w:tcPr>
            <w:tcW w:w="950" w:type="dxa"/>
            <w:vMerge/>
          </w:tcPr>
          <w:p w:rsidR="00E90113" w:rsidRPr="00E26753" w:rsidRDefault="00E90113" w:rsidP="00E77872">
            <w:pPr>
              <w:spacing w:line="276" w:lineRule="auto"/>
              <w:rPr>
                <w:rFonts w:cs="Arial"/>
                <w:b/>
                <w:color w:val="000000"/>
              </w:rPr>
            </w:pPr>
          </w:p>
        </w:tc>
        <w:tc>
          <w:tcPr>
            <w:tcW w:w="1855" w:type="dxa"/>
            <w:vMerge w:val="restart"/>
          </w:tcPr>
          <w:p w:rsidR="00E90113" w:rsidRPr="00E26753" w:rsidRDefault="00E90113" w:rsidP="00E77872">
            <w:pPr>
              <w:spacing w:line="276" w:lineRule="auto"/>
              <w:rPr>
                <w:b/>
              </w:rPr>
            </w:pPr>
            <w:r w:rsidRPr="00E26753">
              <w:rPr>
                <w:rFonts w:cs="Arial"/>
                <w:b/>
                <w:color w:val="000000"/>
              </w:rPr>
              <w:t>Heterosexual</w:t>
            </w: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87</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48</w:t>
            </w:r>
          </w:p>
        </w:tc>
        <w:tc>
          <w:tcPr>
            <w:tcW w:w="1373"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135</w:t>
            </w:r>
          </w:p>
        </w:tc>
      </w:tr>
      <w:tr w:rsidR="00E90113" w:rsidRPr="00E26753" w:rsidTr="00E77872">
        <w:trPr>
          <w:trHeight w:val="121"/>
          <w:jc w:val="center"/>
        </w:trPr>
        <w:tc>
          <w:tcPr>
            <w:tcW w:w="950" w:type="dxa"/>
            <w:vMerge/>
          </w:tcPr>
          <w:p w:rsidR="00E90113" w:rsidRPr="00E26753" w:rsidRDefault="00E90113" w:rsidP="00E77872">
            <w:pPr>
              <w:spacing w:line="276" w:lineRule="auto"/>
              <w:rPr>
                <w:b/>
              </w:rPr>
            </w:pPr>
          </w:p>
        </w:tc>
        <w:tc>
          <w:tcPr>
            <w:tcW w:w="1855" w:type="dxa"/>
            <w:vMerge/>
          </w:tcPr>
          <w:p w:rsidR="00E90113" w:rsidRPr="00E26753" w:rsidRDefault="00E90113" w:rsidP="00E77872">
            <w:pPr>
              <w:spacing w:line="276" w:lineRule="auto"/>
              <w:rPr>
                <w:b/>
              </w:rPr>
            </w:pP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64.4%</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35.6%</w:t>
            </w:r>
          </w:p>
        </w:tc>
        <w:tc>
          <w:tcPr>
            <w:tcW w:w="1373"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100%</w:t>
            </w:r>
          </w:p>
        </w:tc>
      </w:tr>
      <w:tr w:rsidR="00E90113" w:rsidRPr="00E26753" w:rsidTr="00E77872">
        <w:trPr>
          <w:trHeight w:val="121"/>
          <w:jc w:val="center"/>
        </w:trPr>
        <w:tc>
          <w:tcPr>
            <w:tcW w:w="950" w:type="dxa"/>
            <w:vMerge/>
          </w:tcPr>
          <w:p w:rsidR="00E90113" w:rsidRPr="00E26753" w:rsidRDefault="00E90113" w:rsidP="00E77872">
            <w:pPr>
              <w:spacing w:line="276" w:lineRule="auto"/>
              <w:rPr>
                <w:b/>
              </w:rPr>
            </w:pPr>
          </w:p>
        </w:tc>
        <w:tc>
          <w:tcPr>
            <w:tcW w:w="1855" w:type="dxa"/>
            <w:vMerge w:val="restart"/>
          </w:tcPr>
          <w:p w:rsidR="00E90113" w:rsidRPr="00E26753" w:rsidRDefault="00E90113" w:rsidP="00E77872">
            <w:pPr>
              <w:spacing w:line="276" w:lineRule="auto"/>
              <w:rPr>
                <w:b/>
              </w:rPr>
            </w:pPr>
            <w:r w:rsidRPr="00E26753">
              <w:rPr>
                <w:rFonts w:cs="Arial"/>
                <w:b/>
                <w:color w:val="000000"/>
              </w:rPr>
              <w:t>Other/unspecified</w:t>
            </w: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7</w:t>
            </w:r>
          </w:p>
        </w:tc>
        <w:tc>
          <w:tcPr>
            <w:tcW w:w="1701"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w:t>
            </w:r>
          </w:p>
        </w:tc>
        <w:tc>
          <w:tcPr>
            <w:tcW w:w="1373" w:type="dxa"/>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8</w:t>
            </w:r>
          </w:p>
        </w:tc>
      </w:tr>
      <w:tr w:rsidR="00E90113" w:rsidRPr="00E26753" w:rsidTr="00E77872">
        <w:trPr>
          <w:trHeight w:val="121"/>
          <w:jc w:val="center"/>
        </w:trPr>
        <w:tc>
          <w:tcPr>
            <w:tcW w:w="950" w:type="dxa"/>
            <w:vMerge/>
          </w:tcPr>
          <w:p w:rsidR="00E90113" w:rsidRPr="00E26753" w:rsidRDefault="00E90113" w:rsidP="00E77872">
            <w:pPr>
              <w:spacing w:line="276" w:lineRule="auto"/>
              <w:rPr>
                <w:b/>
              </w:rPr>
            </w:pPr>
          </w:p>
        </w:tc>
        <w:tc>
          <w:tcPr>
            <w:tcW w:w="1855" w:type="dxa"/>
            <w:vMerge/>
            <w:tcBorders>
              <w:bottom w:val="single" w:sz="4" w:space="0" w:color="auto"/>
            </w:tcBorders>
          </w:tcPr>
          <w:p w:rsidR="00E90113" w:rsidRPr="00E26753" w:rsidRDefault="00E90113" w:rsidP="00E77872">
            <w:pPr>
              <w:spacing w:line="276" w:lineRule="auto"/>
              <w:rPr>
                <w:b/>
              </w:rPr>
            </w:pPr>
          </w:p>
        </w:tc>
        <w:tc>
          <w:tcPr>
            <w:tcW w:w="1167" w:type="dxa"/>
            <w:tcBorders>
              <w:bottom w:val="single" w:sz="4" w:space="0" w:color="auto"/>
            </w:tcBorders>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87.5%</w:t>
            </w:r>
          </w:p>
        </w:tc>
        <w:tc>
          <w:tcPr>
            <w:tcW w:w="1701"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12.5%</w:t>
            </w:r>
          </w:p>
        </w:tc>
        <w:tc>
          <w:tcPr>
            <w:tcW w:w="1373"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color w:val="000000"/>
              </w:rPr>
            </w:pPr>
            <w:r w:rsidRPr="00E26753">
              <w:rPr>
                <w:rFonts w:cs="Arial"/>
                <w:color w:val="000000"/>
              </w:rPr>
              <w:t>100%</w:t>
            </w:r>
          </w:p>
        </w:tc>
      </w:tr>
      <w:tr w:rsidR="00E90113" w:rsidRPr="00E26753" w:rsidTr="00E77872">
        <w:trPr>
          <w:trHeight w:val="121"/>
          <w:jc w:val="center"/>
        </w:trPr>
        <w:tc>
          <w:tcPr>
            <w:tcW w:w="950" w:type="dxa"/>
            <w:vMerge/>
            <w:shd w:val="clear" w:color="auto" w:fill="FFFFFF" w:themeFill="background1"/>
          </w:tcPr>
          <w:p w:rsidR="00E90113" w:rsidRPr="00E26753" w:rsidRDefault="00E90113" w:rsidP="00E77872">
            <w:pPr>
              <w:spacing w:line="276" w:lineRule="auto"/>
              <w:rPr>
                <w:b/>
              </w:rPr>
            </w:pPr>
          </w:p>
        </w:tc>
        <w:tc>
          <w:tcPr>
            <w:tcW w:w="1855" w:type="dxa"/>
            <w:vMerge w:val="restart"/>
            <w:tcBorders>
              <w:top w:val="single" w:sz="4" w:space="0" w:color="auto"/>
            </w:tcBorders>
            <w:shd w:val="clear" w:color="auto" w:fill="FFFFFF" w:themeFill="background1"/>
          </w:tcPr>
          <w:p w:rsidR="00E90113" w:rsidRPr="00E26753" w:rsidRDefault="00E90113" w:rsidP="00E77872">
            <w:pPr>
              <w:spacing w:line="276" w:lineRule="auto"/>
              <w:rPr>
                <w:b/>
              </w:rPr>
            </w:pPr>
            <w:r w:rsidRPr="00E26753">
              <w:rPr>
                <w:rFonts w:cs="Arial"/>
                <w:b/>
                <w:color w:val="000000"/>
              </w:rPr>
              <w:t>Total</w:t>
            </w:r>
          </w:p>
        </w:tc>
        <w:tc>
          <w:tcPr>
            <w:tcW w:w="1167" w:type="dxa"/>
            <w:tcBorders>
              <w:top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rPr>
                <w:rFonts w:cs="Arial"/>
                <w:b/>
                <w:color w:val="000000"/>
              </w:rPr>
            </w:pPr>
            <w:r w:rsidRPr="00E26753">
              <w:rPr>
                <w:rFonts w:cs="Arial"/>
                <w:b/>
                <w:color w:val="000000"/>
              </w:rPr>
              <w:t>Number</w:t>
            </w:r>
          </w:p>
        </w:tc>
        <w:tc>
          <w:tcPr>
            <w:tcW w:w="1701"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142</w:t>
            </w:r>
          </w:p>
        </w:tc>
        <w:tc>
          <w:tcPr>
            <w:tcW w:w="1701"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94</w:t>
            </w:r>
          </w:p>
        </w:tc>
        <w:tc>
          <w:tcPr>
            <w:tcW w:w="1373"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236</w:t>
            </w:r>
          </w:p>
        </w:tc>
      </w:tr>
      <w:tr w:rsidR="00E90113" w:rsidRPr="00E26753" w:rsidTr="00E77872">
        <w:trPr>
          <w:trHeight w:val="121"/>
          <w:jc w:val="center"/>
        </w:trPr>
        <w:tc>
          <w:tcPr>
            <w:tcW w:w="950" w:type="dxa"/>
            <w:vMerge/>
            <w:tcBorders>
              <w:bottom w:val="single" w:sz="4" w:space="0" w:color="auto"/>
            </w:tcBorders>
            <w:shd w:val="clear" w:color="auto" w:fill="FFFFFF" w:themeFill="background1"/>
          </w:tcPr>
          <w:p w:rsidR="00E90113" w:rsidRPr="00E26753" w:rsidRDefault="00E90113" w:rsidP="00E77872">
            <w:pPr>
              <w:spacing w:line="276" w:lineRule="auto"/>
              <w:jc w:val="center"/>
              <w:rPr>
                <w:b/>
              </w:rPr>
            </w:pPr>
          </w:p>
        </w:tc>
        <w:tc>
          <w:tcPr>
            <w:tcW w:w="1855" w:type="dxa"/>
            <w:vMerge/>
            <w:tcBorders>
              <w:bottom w:val="single" w:sz="4" w:space="0" w:color="auto"/>
            </w:tcBorders>
            <w:shd w:val="clear" w:color="auto" w:fill="FFFFFF" w:themeFill="background1"/>
          </w:tcPr>
          <w:p w:rsidR="00E90113" w:rsidRPr="00E26753" w:rsidRDefault="00E90113" w:rsidP="00E77872">
            <w:pPr>
              <w:spacing w:line="276" w:lineRule="auto"/>
              <w:jc w:val="center"/>
              <w:rPr>
                <w:b/>
              </w:rPr>
            </w:pPr>
          </w:p>
        </w:tc>
        <w:tc>
          <w:tcPr>
            <w:tcW w:w="1167" w:type="dxa"/>
            <w:tcBorders>
              <w:bottom w:val="single" w:sz="4" w:space="0" w:color="auto"/>
            </w:tcBorders>
            <w:shd w:val="clear" w:color="auto" w:fill="FFFFFF" w:themeFill="background1"/>
            <w:vAlign w:val="center"/>
          </w:tcPr>
          <w:p w:rsidR="00E90113" w:rsidRPr="00E26753" w:rsidRDefault="00E90113" w:rsidP="00E77872">
            <w:pPr>
              <w:autoSpaceDE w:val="0"/>
              <w:autoSpaceDN w:val="0"/>
              <w:adjustRightInd w:val="0"/>
              <w:spacing w:line="276" w:lineRule="auto"/>
              <w:ind w:left="60" w:right="60"/>
              <w:rPr>
                <w:rFonts w:cs="Arial"/>
                <w:b/>
                <w:color w:val="000000"/>
              </w:rPr>
            </w:pPr>
            <w:r w:rsidRPr="00E26753">
              <w:rPr>
                <w:rFonts w:cs="Arial"/>
                <w:b/>
                <w:color w:val="000000"/>
              </w:rPr>
              <w:t>Percentage</w:t>
            </w:r>
          </w:p>
        </w:tc>
        <w:tc>
          <w:tcPr>
            <w:tcW w:w="1701"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60.2%</w:t>
            </w:r>
          </w:p>
        </w:tc>
        <w:tc>
          <w:tcPr>
            <w:tcW w:w="1701"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39.8%</w:t>
            </w:r>
          </w:p>
        </w:tc>
        <w:tc>
          <w:tcPr>
            <w:tcW w:w="1373"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color w:val="000000"/>
              </w:rPr>
            </w:pPr>
            <w:r w:rsidRPr="00E26753">
              <w:rPr>
                <w:rFonts w:cs="Arial"/>
                <w:b/>
                <w:color w:val="000000"/>
              </w:rPr>
              <w:t>100.0%</w:t>
            </w:r>
          </w:p>
        </w:tc>
      </w:tr>
      <w:tr w:rsidR="00E90113" w:rsidRPr="00E26753" w:rsidTr="00E77872">
        <w:trPr>
          <w:trHeight w:val="265"/>
          <w:jc w:val="center"/>
        </w:trPr>
        <w:tc>
          <w:tcPr>
            <w:tcW w:w="950" w:type="dxa"/>
            <w:vMerge w:val="restart"/>
            <w:tcBorders>
              <w:top w:val="single" w:sz="4" w:space="0" w:color="auto"/>
              <w:bottom w:val="single" w:sz="4" w:space="0" w:color="auto"/>
            </w:tcBorders>
          </w:tcPr>
          <w:p w:rsidR="00E90113" w:rsidRPr="00E26753" w:rsidRDefault="00E90113" w:rsidP="00E77872">
            <w:pPr>
              <w:spacing w:line="276" w:lineRule="auto"/>
              <w:rPr>
                <w:b/>
              </w:rPr>
            </w:pPr>
            <w:r w:rsidRPr="00E26753">
              <w:rPr>
                <w:b/>
              </w:rPr>
              <w:t>France</w:t>
            </w:r>
          </w:p>
        </w:tc>
        <w:tc>
          <w:tcPr>
            <w:tcW w:w="1855" w:type="dxa"/>
            <w:vMerge w:val="restart"/>
            <w:tcBorders>
              <w:top w:val="single" w:sz="4" w:space="0" w:color="auto"/>
              <w:bottom w:val="single" w:sz="4" w:space="0" w:color="auto"/>
            </w:tcBorders>
          </w:tcPr>
          <w:p w:rsidR="00E90113" w:rsidRPr="00E26753" w:rsidRDefault="00E90113" w:rsidP="00E77872">
            <w:pPr>
              <w:spacing w:line="276" w:lineRule="auto"/>
              <w:rPr>
                <w:b/>
              </w:rPr>
            </w:pPr>
            <w:r w:rsidRPr="00E26753">
              <w:rPr>
                <w:rFonts w:cs="Arial"/>
                <w:b/>
                <w:color w:val="000000"/>
              </w:rPr>
              <w:t>MSMs</w:t>
            </w:r>
          </w:p>
        </w:tc>
        <w:tc>
          <w:tcPr>
            <w:tcW w:w="1167" w:type="dxa"/>
            <w:tcBorders>
              <w:top w:val="single" w:sz="4" w:space="0" w:color="auto"/>
            </w:tcBorders>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15</w:t>
            </w:r>
          </w:p>
        </w:tc>
        <w:tc>
          <w:tcPr>
            <w:tcW w:w="1701"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20</w:t>
            </w:r>
          </w:p>
        </w:tc>
        <w:tc>
          <w:tcPr>
            <w:tcW w:w="1373" w:type="dxa"/>
            <w:tcBorders>
              <w:top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35</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rFonts w:cs="Arial"/>
                <w:b/>
                <w:color w:val="000000"/>
              </w:rPr>
            </w:pPr>
          </w:p>
        </w:tc>
        <w:tc>
          <w:tcPr>
            <w:tcW w:w="1855" w:type="dxa"/>
            <w:vMerge/>
          </w:tcPr>
          <w:p w:rsidR="00E90113" w:rsidRPr="00E26753" w:rsidRDefault="00E90113" w:rsidP="00E77872">
            <w:pPr>
              <w:spacing w:line="276" w:lineRule="auto"/>
              <w:rPr>
                <w:rFonts w:cs="Arial"/>
                <w:b/>
                <w:color w:val="000000"/>
              </w:rPr>
            </w:pP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42.9%</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57.1%</w:t>
            </w:r>
          </w:p>
        </w:tc>
        <w:tc>
          <w:tcPr>
            <w:tcW w:w="1373"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color w:val="000000"/>
              </w:rPr>
              <w:t>100%</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rFonts w:cs="Arial"/>
                <w:b/>
                <w:color w:val="000000"/>
              </w:rPr>
            </w:pPr>
          </w:p>
        </w:tc>
        <w:tc>
          <w:tcPr>
            <w:tcW w:w="1855" w:type="dxa"/>
            <w:vMerge w:val="restart"/>
          </w:tcPr>
          <w:p w:rsidR="00E90113" w:rsidRPr="00E26753" w:rsidRDefault="00E90113" w:rsidP="00E77872">
            <w:pPr>
              <w:spacing w:line="276" w:lineRule="auto"/>
              <w:rPr>
                <w:b/>
              </w:rPr>
            </w:pPr>
            <w:r w:rsidRPr="00E26753">
              <w:rPr>
                <w:rFonts w:cs="Arial"/>
                <w:b/>
                <w:color w:val="000000"/>
              </w:rPr>
              <w:t>Intravenous drug users</w:t>
            </w: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0</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1</w:t>
            </w:r>
          </w:p>
        </w:tc>
        <w:tc>
          <w:tcPr>
            <w:tcW w:w="1373"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1</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b/>
              </w:rPr>
            </w:pPr>
          </w:p>
        </w:tc>
        <w:tc>
          <w:tcPr>
            <w:tcW w:w="1855" w:type="dxa"/>
            <w:vMerge/>
            <w:tcBorders>
              <w:top w:val="single" w:sz="4" w:space="0" w:color="auto"/>
            </w:tcBorders>
          </w:tcPr>
          <w:p w:rsidR="00E90113" w:rsidRPr="00E26753" w:rsidRDefault="00E90113" w:rsidP="00E77872">
            <w:pPr>
              <w:spacing w:line="276" w:lineRule="auto"/>
              <w:rPr>
                <w:b/>
              </w:rPr>
            </w:pP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0.00</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100.0%</w:t>
            </w:r>
          </w:p>
        </w:tc>
        <w:tc>
          <w:tcPr>
            <w:tcW w:w="1373"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color w:val="000000"/>
              </w:rPr>
              <w:t>100%</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b/>
              </w:rPr>
            </w:pPr>
          </w:p>
        </w:tc>
        <w:tc>
          <w:tcPr>
            <w:tcW w:w="1855" w:type="dxa"/>
            <w:vMerge w:val="restart"/>
          </w:tcPr>
          <w:p w:rsidR="00E90113" w:rsidRPr="00E26753" w:rsidRDefault="00E90113" w:rsidP="00E77872">
            <w:pPr>
              <w:spacing w:line="276" w:lineRule="auto"/>
              <w:rPr>
                <w:b/>
              </w:rPr>
            </w:pPr>
            <w:r w:rsidRPr="00E26753">
              <w:rPr>
                <w:rFonts w:cs="Arial"/>
                <w:b/>
                <w:color w:val="000000"/>
              </w:rPr>
              <w:t>Heterosexual</w:t>
            </w: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63</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56</w:t>
            </w:r>
          </w:p>
        </w:tc>
        <w:tc>
          <w:tcPr>
            <w:tcW w:w="1373"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119</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b/>
              </w:rPr>
            </w:pPr>
          </w:p>
        </w:tc>
        <w:tc>
          <w:tcPr>
            <w:tcW w:w="1855" w:type="dxa"/>
            <w:vMerge/>
            <w:tcBorders>
              <w:top w:val="single" w:sz="4" w:space="0" w:color="auto"/>
            </w:tcBorders>
          </w:tcPr>
          <w:p w:rsidR="00E90113" w:rsidRPr="00E26753" w:rsidRDefault="00E90113" w:rsidP="00E77872">
            <w:pPr>
              <w:spacing w:line="276" w:lineRule="auto"/>
              <w:rPr>
                <w:b/>
              </w:rPr>
            </w:pP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52.9%</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47.1%</w:t>
            </w:r>
          </w:p>
        </w:tc>
        <w:tc>
          <w:tcPr>
            <w:tcW w:w="1373"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color w:val="000000"/>
              </w:rPr>
              <w:t>100%</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b/>
              </w:rPr>
            </w:pPr>
          </w:p>
        </w:tc>
        <w:tc>
          <w:tcPr>
            <w:tcW w:w="1855" w:type="dxa"/>
            <w:vMerge w:val="restart"/>
          </w:tcPr>
          <w:p w:rsidR="00E90113" w:rsidRPr="00E26753" w:rsidRDefault="00E90113" w:rsidP="00E77872">
            <w:pPr>
              <w:spacing w:line="276" w:lineRule="auto"/>
              <w:rPr>
                <w:b/>
              </w:rPr>
            </w:pPr>
            <w:r w:rsidRPr="00E26753">
              <w:rPr>
                <w:rFonts w:cs="Arial"/>
                <w:b/>
                <w:color w:val="000000"/>
              </w:rPr>
              <w:t>Other/unspecified</w:t>
            </w:r>
          </w:p>
        </w:tc>
        <w:tc>
          <w:tcPr>
            <w:tcW w:w="1167" w:type="dxa"/>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Number</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4</w:t>
            </w:r>
          </w:p>
        </w:tc>
        <w:tc>
          <w:tcPr>
            <w:tcW w:w="1701"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6</w:t>
            </w:r>
          </w:p>
        </w:tc>
        <w:tc>
          <w:tcPr>
            <w:tcW w:w="1373" w:type="dxa"/>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10</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b/>
              </w:rPr>
            </w:pPr>
          </w:p>
        </w:tc>
        <w:tc>
          <w:tcPr>
            <w:tcW w:w="1855" w:type="dxa"/>
            <w:vMerge/>
            <w:tcBorders>
              <w:top w:val="single" w:sz="4" w:space="0" w:color="auto"/>
              <w:bottom w:val="single" w:sz="4" w:space="0" w:color="auto"/>
            </w:tcBorders>
          </w:tcPr>
          <w:p w:rsidR="00E90113" w:rsidRPr="00E26753" w:rsidRDefault="00E90113" w:rsidP="00E77872">
            <w:pPr>
              <w:spacing w:line="276" w:lineRule="auto"/>
              <w:rPr>
                <w:b/>
              </w:rPr>
            </w:pPr>
          </w:p>
        </w:tc>
        <w:tc>
          <w:tcPr>
            <w:tcW w:w="1167" w:type="dxa"/>
            <w:tcBorders>
              <w:bottom w:val="single" w:sz="4" w:space="0" w:color="auto"/>
            </w:tcBorders>
            <w:vAlign w:val="center"/>
          </w:tcPr>
          <w:p w:rsidR="00E90113" w:rsidRPr="00E26753" w:rsidRDefault="00E90113" w:rsidP="00E77872">
            <w:pPr>
              <w:autoSpaceDE w:val="0"/>
              <w:autoSpaceDN w:val="0"/>
              <w:adjustRightInd w:val="0"/>
              <w:spacing w:line="276" w:lineRule="auto"/>
              <w:ind w:left="60" w:right="60"/>
              <w:rPr>
                <w:rFonts w:cs="Arial"/>
                <w:color w:val="000000"/>
              </w:rPr>
            </w:pPr>
            <w:r w:rsidRPr="00E26753">
              <w:rPr>
                <w:rFonts w:cs="Arial"/>
                <w:color w:val="000000"/>
              </w:rPr>
              <w:t>Percentage</w:t>
            </w:r>
          </w:p>
        </w:tc>
        <w:tc>
          <w:tcPr>
            <w:tcW w:w="1701"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40.0%</w:t>
            </w:r>
          </w:p>
        </w:tc>
        <w:tc>
          <w:tcPr>
            <w:tcW w:w="1701"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rPr>
              <w:t>60.0%</w:t>
            </w:r>
          </w:p>
        </w:tc>
        <w:tc>
          <w:tcPr>
            <w:tcW w:w="1373" w:type="dxa"/>
            <w:tcBorders>
              <w:bottom w:val="single" w:sz="4" w:space="0" w:color="auto"/>
            </w:tcBorders>
          </w:tcPr>
          <w:p w:rsidR="00E90113" w:rsidRPr="00E26753" w:rsidRDefault="00E90113" w:rsidP="00E77872">
            <w:pPr>
              <w:autoSpaceDE w:val="0"/>
              <w:autoSpaceDN w:val="0"/>
              <w:adjustRightInd w:val="0"/>
              <w:spacing w:line="276" w:lineRule="auto"/>
              <w:ind w:left="60" w:right="60"/>
              <w:jc w:val="right"/>
              <w:rPr>
                <w:rFonts w:cs="Arial"/>
              </w:rPr>
            </w:pPr>
            <w:r w:rsidRPr="00E26753">
              <w:rPr>
                <w:rFonts w:cs="Arial"/>
                <w:color w:val="000000"/>
              </w:rPr>
              <w:t>100%</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b/>
              </w:rPr>
            </w:pPr>
          </w:p>
        </w:tc>
        <w:tc>
          <w:tcPr>
            <w:tcW w:w="1855" w:type="dxa"/>
            <w:vMerge w:val="restart"/>
            <w:tcBorders>
              <w:top w:val="single" w:sz="4" w:space="0" w:color="auto"/>
              <w:bottom w:val="single" w:sz="4" w:space="0" w:color="auto"/>
            </w:tcBorders>
            <w:shd w:val="clear" w:color="auto" w:fill="FFFFFF" w:themeFill="background1"/>
          </w:tcPr>
          <w:p w:rsidR="00E90113" w:rsidRPr="00E26753" w:rsidRDefault="00E90113" w:rsidP="00E77872">
            <w:pPr>
              <w:spacing w:line="276" w:lineRule="auto"/>
              <w:rPr>
                <w:b/>
              </w:rPr>
            </w:pPr>
            <w:r>
              <w:rPr>
                <w:rFonts w:cs="Arial"/>
                <w:b/>
                <w:color w:val="000000"/>
              </w:rPr>
              <w:t>Total</w:t>
            </w:r>
          </w:p>
        </w:tc>
        <w:tc>
          <w:tcPr>
            <w:tcW w:w="1167"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rPr>
                <w:rFonts w:cs="Arial"/>
                <w:b/>
                <w:color w:val="000000"/>
              </w:rPr>
            </w:pPr>
            <w:r w:rsidRPr="00E26753">
              <w:rPr>
                <w:rFonts w:cs="Arial"/>
                <w:b/>
                <w:color w:val="000000"/>
              </w:rPr>
              <w:t>Number</w:t>
            </w:r>
          </w:p>
        </w:tc>
        <w:tc>
          <w:tcPr>
            <w:tcW w:w="1701"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rPr>
            </w:pPr>
            <w:r w:rsidRPr="00E26753">
              <w:rPr>
                <w:rFonts w:cs="Arial"/>
                <w:b/>
              </w:rPr>
              <w:t>82</w:t>
            </w:r>
          </w:p>
        </w:tc>
        <w:tc>
          <w:tcPr>
            <w:tcW w:w="1701"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rPr>
            </w:pPr>
            <w:r w:rsidRPr="00E26753">
              <w:rPr>
                <w:rFonts w:cs="Arial"/>
                <w:b/>
              </w:rPr>
              <w:t>83</w:t>
            </w:r>
          </w:p>
        </w:tc>
        <w:tc>
          <w:tcPr>
            <w:tcW w:w="1373" w:type="dxa"/>
            <w:tcBorders>
              <w:top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rPr>
            </w:pPr>
            <w:r w:rsidRPr="00E26753">
              <w:rPr>
                <w:rFonts w:cs="Arial"/>
                <w:b/>
              </w:rPr>
              <w:t>165</w:t>
            </w:r>
          </w:p>
        </w:tc>
      </w:tr>
      <w:tr w:rsidR="00E90113" w:rsidRPr="00E26753" w:rsidTr="00E77872">
        <w:trPr>
          <w:trHeight w:val="121"/>
          <w:jc w:val="center"/>
        </w:trPr>
        <w:tc>
          <w:tcPr>
            <w:tcW w:w="950" w:type="dxa"/>
            <w:vMerge/>
            <w:tcBorders>
              <w:bottom w:val="single" w:sz="4" w:space="0" w:color="auto"/>
            </w:tcBorders>
          </w:tcPr>
          <w:p w:rsidR="00E90113" w:rsidRPr="00E26753" w:rsidRDefault="00E90113" w:rsidP="00E77872">
            <w:pPr>
              <w:spacing w:line="276" w:lineRule="auto"/>
              <w:rPr>
                <w:b/>
              </w:rPr>
            </w:pPr>
          </w:p>
        </w:tc>
        <w:tc>
          <w:tcPr>
            <w:tcW w:w="1855" w:type="dxa"/>
            <w:vMerge/>
            <w:tcBorders>
              <w:bottom w:val="single" w:sz="4" w:space="0" w:color="auto"/>
            </w:tcBorders>
            <w:shd w:val="clear" w:color="auto" w:fill="FFFFFF" w:themeFill="background1"/>
          </w:tcPr>
          <w:p w:rsidR="00E90113" w:rsidRPr="00E26753" w:rsidRDefault="00E90113" w:rsidP="00E77872">
            <w:pPr>
              <w:spacing w:line="276" w:lineRule="auto"/>
              <w:rPr>
                <w:b/>
              </w:rPr>
            </w:pPr>
          </w:p>
        </w:tc>
        <w:tc>
          <w:tcPr>
            <w:tcW w:w="1167"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rPr>
                <w:rFonts w:cs="Arial"/>
                <w:b/>
                <w:color w:val="000000"/>
              </w:rPr>
            </w:pPr>
            <w:r w:rsidRPr="00E26753">
              <w:rPr>
                <w:rFonts w:cs="Arial"/>
                <w:b/>
                <w:color w:val="000000"/>
              </w:rPr>
              <w:t>Percentage</w:t>
            </w:r>
          </w:p>
        </w:tc>
        <w:tc>
          <w:tcPr>
            <w:tcW w:w="1701"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rPr>
            </w:pPr>
            <w:r w:rsidRPr="00E26753">
              <w:rPr>
                <w:rFonts w:cs="Arial"/>
                <w:b/>
              </w:rPr>
              <w:t>49.7%</w:t>
            </w:r>
          </w:p>
        </w:tc>
        <w:tc>
          <w:tcPr>
            <w:tcW w:w="1701"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rPr>
            </w:pPr>
            <w:r w:rsidRPr="00E26753">
              <w:rPr>
                <w:rFonts w:cs="Arial"/>
                <w:b/>
              </w:rPr>
              <w:t>50.3%</w:t>
            </w:r>
          </w:p>
        </w:tc>
        <w:tc>
          <w:tcPr>
            <w:tcW w:w="1373" w:type="dxa"/>
            <w:tcBorders>
              <w:bottom w:val="single" w:sz="4" w:space="0" w:color="auto"/>
            </w:tcBorders>
            <w:shd w:val="clear" w:color="auto" w:fill="FFFFFF" w:themeFill="background1"/>
          </w:tcPr>
          <w:p w:rsidR="00E90113" w:rsidRPr="00E26753" w:rsidRDefault="00E90113" w:rsidP="00E77872">
            <w:pPr>
              <w:autoSpaceDE w:val="0"/>
              <w:autoSpaceDN w:val="0"/>
              <w:adjustRightInd w:val="0"/>
              <w:spacing w:line="276" w:lineRule="auto"/>
              <w:ind w:left="60" w:right="60"/>
              <w:jc w:val="right"/>
              <w:rPr>
                <w:rFonts w:cs="Arial"/>
                <w:b/>
              </w:rPr>
            </w:pPr>
            <w:r w:rsidRPr="00E26753">
              <w:rPr>
                <w:rFonts w:cs="Arial"/>
                <w:b/>
              </w:rPr>
              <w:t>100.0%</w:t>
            </w:r>
          </w:p>
        </w:tc>
      </w:tr>
    </w:tbl>
    <w:p w:rsidR="00B2376C" w:rsidRDefault="00B2376C" w:rsidP="00A16FE2">
      <w:pPr>
        <w:spacing w:after="0" w:line="480" w:lineRule="auto"/>
        <w:rPr>
          <w:rFonts w:cs="Times New Roman"/>
          <w:b/>
          <w:i/>
        </w:rPr>
      </w:pPr>
    </w:p>
    <w:p w:rsidR="00A16FE2" w:rsidRPr="00A16FE2" w:rsidRDefault="00B8794B" w:rsidP="00A16FE2">
      <w:pPr>
        <w:spacing w:after="0" w:line="480" w:lineRule="auto"/>
        <w:rPr>
          <w:rFonts w:cs="Times New Roman"/>
          <w:b/>
          <w:i/>
        </w:rPr>
      </w:pPr>
      <w:r>
        <w:rPr>
          <w:rFonts w:cs="Times New Roman"/>
          <w:b/>
          <w:i/>
        </w:rPr>
        <w:t xml:space="preserve">Results from the </w:t>
      </w:r>
      <w:r w:rsidR="00A16FE2">
        <w:rPr>
          <w:rFonts w:cs="Times New Roman"/>
          <w:b/>
          <w:i/>
        </w:rPr>
        <w:t xml:space="preserve">UK </w:t>
      </w:r>
      <w:r>
        <w:rPr>
          <w:rFonts w:cs="Times New Roman"/>
          <w:b/>
          <w:i/>
        </w:rPr>
        <w:t xml:space="preserve">dataset </w:t>
      </w:r>
    </w:p>
    <w:p w:rsidR="00A83A48" w:rsidRPr="006F3809" w:rsidRDefault="00A83A48" w:rsidP="006F3809">
      <w:pPr>
        <w:spacing w:line="480" w:lineRule="auto"/>
        <w:ind w:firstLine="720"/>
      </w:pPr>
      <w:r w:rsidRPr="005B4EF1">
        <w:rPr>
          <w:rFonts w:cs="Times New Roman"/>
        </w:rPr>
        <w:t>The percentage of late diagnos</w:t>
      </w:r>
      <w:r w:rsidR="00352B88">
        <w:rPr>
          <w:rFonts w:cs="Times New Roman"/>
        </w:rPr>
        <w:t>e</w:t>
      </w:r>
      <w:r w:rsidRPr="005B4EF1">
        <w:rPr>
          <w:rFonts w:cs="Times New Roman"/>
        </w:rPr>
        <w:t xml:space="preserve">s varies by transmission group, </w:t>
      </w:r>
      <w:r w:rsidR="00C563BB">
        <w:rPr>
          <w:rFonts w:cs="Times New Roman"/>
        </w:rPr>
        <w:t>with British-born MSMs having a slightly higher incidence of early diagnosis</w:t>
      </w:r>
      <w:r w:rsidR="00352B88">
        <w:rPr>
          <w:rFonts w:cs="Times New Roman"/>
        </w:rPr>
        <w:t xml:space="preserve"> although this was not statistically significant. </w:t>
      </w:r>
      <w:r w:rsidRPr="005B4EF1">
        <w:rPr>
          <w:rFonts w:cs="Times New Roman"/>
        </w:rPr>
        <w:t xml:space="preserve">The most common place of testing was </w:t>
      </w:r>
      <w:r w:rsidR="008026E6">
        <w:rPr>
          <w:rFonts w:cs="Times New Roman"/>
        </w:rPr>
        <w:t xml:space="preserve">a </w:t>
      </w:r>
      <w:r w:rsidR="00AE078E">
        <w:rPr>
          <w:rFonts w:cs="Times New Roman"/>
        </w:rPr>
        <w:t xml:space="preserve">sexual health </w:t>
      </w:r>
      <w:r w:rsidRPr="005B4EF1">
        <w:rPr>
          <w:rFonts w:cs="Times New Roman"/>
        </w:rPr>
        <w:t>clinic</w:t>
      </w:r>
      <w:r w:rsidR="00352B88">
        <w:rPr>
          <w:rFonts w:cs="Times New Roman"/>
        </w:rPr>
        <w:t>,</w:t>
      </w:r>
      <w:r w:rsidRPr="005B4EF1">
        <w:rPr>
          <w:rFonts w:cs="Times New Roman"/>
        </w:rPr>
        <w:t xml:space="preserve"> follow</w:t>
      </w:r>
      <w:r w:rsidR="00352B88">
        <w:rPr>
          <w:rFonts w:cs="Times New Roman"/>
        </w:rPr>
        <w:t>ed</w:t>
      </w:r>
      <w:r w:rsidRPr="005B4EF1">
        <w:rPr>
          <w:rFonts w:cs="Times New Roman"/>
        </w:rPr>
        <w:t xml:space="preserve"> by</w:t>
      </w:r>
      <w:r w:rsidR="00352B88">
        <w:rPr>
          <w:rFonts w:cs="Times New Roman"/>
        </w:rPr>
        <w:t xml:space="preserve"> </w:t>
      </w:r>
      <w:r w:rsidR="00BF5604">
        <w:rPr>
          <w:rFonts w:cs="Times New Roman"/>
        </w:rPr>
        <w:t xml:space="preserve">acute </w:t>
      </w:r>
      <w:r w:rsidRPr="005B4EF1">
        <w:rPr>
          <w:rFonts w:cs="Times New Roman"/>
        </w:rPr>
        <w:t>hospital</w:t>
      </w:r>
      <w:r w:rsidR="00352B88">
        <w:rPr>
          <w:rFonts w:cs="Times New Roman"/>
        </w:rPr>
        <w:t>s</w:t>
      </w:r>
      <w:r w:rsidR="00BF5604">
        <w:rPr>
          <w:rFonts w:cs="Times New Roman"/>
        </w:rPr>
        <w:t xml:space="preserve"> after </w:t>
      </w:r>
      <w:r w:rsidRPr="005B4EF1">
        <w:rPr>
          <w:rFonts w:cs="Times New Roman"/>
        </w:rPr>
        <w:t xml:space="preserve">admission due to </w:t>
      </w:r>
      <w:r w:rsidR="00352B88">
        <w:rPr>
          <w:rFonts w:cs="Times New Roman"/>
        </w:rPr>
        <w:t xml:space="preserve">an </w:t>
      </w:r>
      <w:r w:rsidR="00BF5604" w:rsidRPr="005B4EF1">
        <w:rPr>
          <w:rFonts w:cs="Times New Roman"/>
        </w:rPr>
        <w:t>illness</w:t>
      </w:r>
      <w:r w:rsidR="00BF5604">
        <w:rPr>
          <w:rFonts w:cs="Times New Roman"/>
        </w:rPr>
        <w:t xml:space="preserve"> that may or may not have been HIV related. For those admitted with HIV or AIDS </w:t>
      </w:r>
      <w:r w:rsidR="00BF5604">
        <w:rPr>
          <w:rFonts w:cs="Times New Roman"/>
        </w:rPr>
        <w:lastRenderedPageBreak/>
        <w:t xml:space="preserve">defining illnesses, the incidence of </w:t>
      </w:r>
      <w:r w:rsidR="00BF5604" w:rsidRPr="005B4EF1">
        <w:rPr>
          <w:rFonts w:cs="Times New Roman"/>
        </w:rPr>
        <w:t xml:space="preserve">late diagnosis </w:t>
      </w:r>
      <w:r w:rsidR="00BF5604">
        <w:rPr>
          <w:rFonts w:cs="Times New Roman"/>
        </w:rPr>
        <w:t xml:space="preserve">was far higher </w:t>
      </w:r>
      <w:r w:rsidR="00BF5604" w:rsidRPr="005B4EF1">
        <w:rPr>
          <w:rFonts w:cs="Times New Roman"/>
        </w:rPr>
        <w:t xml:space="preserve">(89.1%) compared with other settings </w:t>
      </w:r>
      <w:r w:rsidR="00BF5604">
        <w:rPr>
          <w:rFonts w:cs="Times New Roman"/>
        </w:rPr>
        <w:t>which ranged from 41-50%</w:t>
      </w:r>
      <w:r w:rsidR="00BF5604" w:rsidRPr="005B4EF1">
        <w:rPr>
          <w:rFonts w:cs="Times New Roman"/>
        </w:rPr>
        <w:t>.</w:t>
      </w:r>
      <w:r w:rsidR="00BF5604">
        <w:rPr>
          <w:rFonts w:cs="Times New Roman"/>
        </w:rPr>
        <w:t xml:space="preserve"> </w:t>
      </w:r>
      <w:r w:rsidR="008026E6">
        <w:rPr>
          <w:rFonts w:cs="Times New Roman"/>
        </w:rPr>
        <w:t>A</w:t>
      </w:r>
      <w:r w:rsidR="00CA23BD">
        <w:rPr>
          <w:rFonts w:cs="Times New Roman"/>
        </w:rPr>
        <w:t xml:space="preserve">ntenatal screening accounted for </w:t>
      </w:r>
      <w:r w:rsidR="008026E6">
        <w:rPr>
          <w:rFonts w:cs="Times New Roman"/>
        </w:rPr>
        <w:t xml:space="preserve">14 </w:t>
      </w:r>
      <w:r w:rsidR="00355830">
        <w:rPr>
          <w:rFonts w:cs="Times New Roman"/>
        </w:rPr>
        <w:t xml:space="preserve">positive </w:t>
      </w:r>
      <w:r w:rsidR="00BF5604">
        <w:rPr>
          <w:rFonts w:cs="Times New Roman"/>
        </w:rPr>
        <w:t>tests</w:t>
      </w:r>
      <w:r w:rsidR="008026E6">
        <w:rPr>
          <w:rFonts w:cs="Times New Roman"/>
        </w:rPr>
        <w:t>, only 42.9% (or 6 women) were diagnosed early</w:t>
      </w:r>
      <w:r w:rsidR="00355830">
        <w:rPr>
          <w:rFonts w:cs="Times New Roman"/>
        </w:rPr>
        <w:t xml:space="preserve">. In </w:t>
      </w:r>
      <w:r w:rsidRPr="005B4EF1">
        <w:rPr>
          <w:rFonts w:cs="Times New Roman"/>
        </w:rPr>
        <w:t xml:space="preserve">41 cases, </w:t>
      </w:r>
      <w:r w:rsidR="00BF5604">
        <w:rPr>
          <w:rFonts w:cs="Times New Roman"/>
        </w:rPr>
        <w:t xml:space="preserve">the </w:t>
      </w:r>
      <w:r w:rsidRPr="005B4EF1">
        <w:rPr>
          <w:rFonts w:cs="Times New Roman"/>
        </w:rPr>
        <w:t xml:space="preserve">initial </w:t>
      </w:r>
      <w:r w:rsidR="00BF5604">
        <w:rPr>
          <w:rFonts w:cs="Times New Roman"/>
        </w:rPr>
        <w:t>HIV test took place elsewhere, including GP surgeries</w:t>
      </w:r>
      <w:r w:rsidR="00355830">
        <w:rPr>
          <w:rFonts w:cs="Times New Roman"/>
        </w:rPr>
        <w:t>, prison or private clinics</w:t>
      </w:r>
      <w:r w:rsidR="000D77EA">
        <w:rPr>
          <w:rFonts w:cs="Times New Roman"/>
        </w:rPr>
        <w:t xml:space="preserve">. Of the 166 UK patients diagnosed late, 119 (71.7%) had one or more comorbidities </w:t>
      </w:r>
      <w:r w:rsidR="00161EF3">
        <w:rPr>
          <w:rFonts w:cs="Times New Roman"/>
        </w:rPr>
        <w:t xml:space="preserve">compared to only 38 (36.9%) of those diagnosed early. </w:t>
      </w:r>
      <w:r w:rsidR="000D77EA">
        <w:rPr>
          <w:rFonts w:cs="Times New Roman"/>
        </w:rPr>
        <w:t xml:space="preserve"> </w:t>
      </w:r>
    </w:p>
    <w:p w:rsidR="00A16FE2" w:rsidRDefault="00B8794B" w:rsidP="00A16FE2">
      <w:pPr>
        <w:spacing w:after="0" w:line="480" w:lineRule="auto"/>
        <w:rPr>
          <w:rFonts w:cs="Times New Roman"/>
          <w:b/>
          <w:i/>
        </w:rPr>
      </w:pPr>
      <w:r>
        <w:rPr>
          <w:rFonts w:cs="Times New Roman"/>
          <w:b/>
          <w:i/>
        </w:rPr>
        <w:t xml:space="preserve">Results from the </w:t>
      </w:r>
      <w:r w:rsidR="00A16FE2">
        <w:rPr>
          <w:rFonts w:cs="Times New Roman"/>
          <w:b/>
          <w:i/>
        </w:rPr>
        <w:t xml:space="preserve">French </w:t>
      </w:r>
      <w:r>
        <w:rPr>
          <w:rFonts w:cs="Times New Roman"/>
          <w:b/>
          <w:i/>
        </w:rPr>
        <w:t>d</w:t>
      </w:r>
      <w:r w:rsidR="00A16FE2">
        <w:rPr>
          <w:rFonts w:cs="Times New Roman"/>
          <w:b/>
          <w:i/>
        </w:rPr>
        <w:t>ata</w:t>
      </w:r>
      <w:r>
        <w:rPr>
          <w:rFonts w:cs="Times New Roman"/>
          <w:b/>
          <w:i/>
        </w:rPr>
        <w:t>set</w:t>
      </w:r>
    </w:p>
    <w:p w:rsidR="00320A8B" w:rsidRDefault="00D01B46" w:rsidP="006F3809">
      <w:pPr>
        <w:spacing w:after="0" w:line="480" w:lineRule="auto"/>
        <w:rPr>
          <w:rFonts w:cs="Times New Roman"/>
        </w:rPr>
      </w:pPr>
      <w:r>
        <w:rPr>
          <w:rFonts w:cs="Times New Roman"/>
        </w:rPr>
        <w:t xml:space="preserve">The French data set contained information for 170 patients with information on CD4 counts at first diagnosis being available for </w:t>
      </w:r>
      <w:r w:rsidR="00BA56CD">
        <w:rPr>
          <w:rFonts w:cs="Times New Roman"/>
        </w:rPr>
        <w:t xml:space="preserve">only </w:t>
      </w:r>
      <w:r>
        <w:rPr>
          <w:rFonts w:cs="Times New Roman"/>
        </w:rPr>
        <w:t>16</w:t>
      </w:r>
      <w:r w:rsidR="000D77EA">
        <w:rPr>
          <w:rFonts w:cs="Times New Roman"/>
        </w:rPr>
        <w:t>6</w:t>
      </w:r>
      <w:r>
        <w:rPr>
          <w:rFonts w:cs="Times New Roman"/>
        </w:rPr>
        <w:t xml:space="preserve"> individuals. Eighty-three </w:t>
      </w:r>
      <w:r w:rsidR="00BA56CD">
        <w:rPr>
          <w:rFonts w:cs="Times New Roman"/>
        </w:rPr>
        <w:t xml:space="preserve">(50.0%) of these </w:t>
      </w:r>
      <w:r w:rsidR="00D50122">
        <w:rPr>
          <w:rFonts w:cs="Times New Roman"/>
        </w:rPr>
        <w:t xml:space="preserve">had CD4 counts </w:t>
      </w:r>
      <w:r w:rsidR="00D50122" w:rsidRPr="00D50122">
        <w:rPr>
          <w:rFonts w:cs="Times New Roman"/>
        </w:rPr>
        <w:t>≤350</w:t>
      </w:r>
      <w:r w:rsidR="00D50122">
        <w:rPr>
          <w:rFonts w:cs="Times New Roman"/>
        </w:rPr>
        <w:t xml:space="preserve"> </w:t>
      </w:r>
      <w:r w:rsidR="00D50122" w:rsidRPr="00E26753">
        <w:rPr>
          <w:rFonts w:cs="Times New Roman"/>
        </w:rPr>
        <w:t>cells/</w:t>
      </w:r>
      <w:r w:rsidR="00D50122" w:rsidRPr="00E26753">
        <w:rPr>
          <w:rFonts w:eastAsia="FreeSerif" w:cs="Times New Roman"/>
        </w:rPr>
        <w:t>mm³</w:t>
      </w:r>
      <w:r w:rsidR="00D50122">
        <w:rPr>
          <w:rFonts w:eastAsia="FreeSerif" w:cs="Times New Roman"/>
        </w:rPr>
        <w:t xml:space="preserve"> and 83 had </w:t>
      </w:r>
      <w:r w:rsidR="00D50122">
        <w:rPr>
          <w:rFonts w:cs="Times New Roman"/>
        </w:rPr>
        <w:t>&gt;</w:t>
      </w:r>
      <w:r w:rsidR="00D50122" w:rsidRPr="00D50122">
        <w:rPr>
          <w:rFonts w:cs="Times New Roman"/>
        </w:rPr>
        <w:t>350</w:t>
      </w:r>
      <w:r w:rsidR="00D50122">
        <w:rPr>
          <w:rFonts w:cs="Times New Roman"/>
        </w:rPr>
        <w:t xml:space="preserve"> </w:t>
      </w:r>
      <w:r w:rsidR="00D50122" w:rsidRPr="00E26753">
        <w:rPr>
          <w:rFonts w:cs="Times New Roman"/>
        </w:rPr>
        <w:t>cells/</w:t>
      </w:r>
      <w:r w:rsidR="00D50122" w:rsidRPr="00E26753">
        <w:rPr>
          <w:rFonts w:eastAsia="FreeSerif" w:cs="Times New Roman"/>
        </w:rPr>
        <w:t>mm³</w:t>
      </w:r>
      <w:r w:rsidR="00D50122">
        <w:rPr>
          <w:rFonts w:eastAsia="FreeSerif" w:cs="Times New Roman"/>
        </w:rPr>
        <w:t xml:space="preserve"> so the number of early and late diagnoses was perfectly </w:t>
      </w:r>
      <w:r w:rsidR="00BA56CD">
        <w:rPr>
          <w:rFonts w:eastAsia="FreeSerif" w:cs="Times New Roman"/>
        </w:rPr>
        <w:t xml:space="preserve">balanced </w:t>
      </w:r>
      <w:r w:rsidR="00D50122">
        <w:rPr>
          <w:rFonts w:eastAsia="FreeSerif" w:cs="Times New Roman"/>
        </w:rPr>
        <w:t>in the French sample.  As in Kent and Medway, the proportion of l</w:t>
      </w:r>
      <w:r w:rsidR="00D50122">
        <w:rPr>
          <w:rFonts w:cs="Times New Roman"/>
        </w:rPr>
        <w:t>ate diagnose</w:t>
      </w:r>
      <w:r w:rsidR="00D50122" w:rsidRPr="00D50122">
        <w:rPr>
          <w:rFonts w:cs="Times New Roman"/>
        </w:rPr>
        <w:t xml:space="preserve">s </w:t>
      </w:r>
      <w:r w:rsidR="00D50122">
        <w:rPr>
          <w:rFonts w:cs="Times New Roman"/>
        </w:rPr>
        <w:t xml:space="preserve">in </w:t>
      </w:r>
      <w:r w:rsidR="00D50122" w:rsidRPr="00D50122">
        <w:rPr>
          <w:rFonts w:cs="Times New Roman"/>
        </w:rPr>
        <w:t>Amiens and Creil</w:t>
      </w:r>
      <w:r w:rsidR="00D50122">
        <w:rPr>
          <w:rFonts w:cs="Times New Roman"/>
        </w:rPr>
        <w:t xml:space="preserve"> </w:t>
      </w:r>
      <w:r w:rsidR="00D64615">
        <w:rPr>
          <w:rFonts w:cs="Times New Roman"/>
        </w:rPr>
        <w:t xml:space="preserve">were </w:t>
      </w:r>
      <w:r w:rsidR="00D50122">
        <w:rPr>
          <w:rFonts w:cs="Times New Roman"/>
        </w:rPr>
        <w:t>higher than the national average</w:t>
      </w:r>
      <w:r w:rsidR="006A7542">
        <w:rPr>
          <w:rFonts w:cs="Times New Roman"/>
        </w:rPr>
        <w:t xml:space="preserve">. </w:t>
      </w:r>
      <w:r w:rsidR="00BA56CD">
        <w:rPr>
          <w:rFonts w:cs="Times New Roman"/>
        </w:rPr>
        <w:t xml:space="preserve">Similarly, there was no </w:t>
      </w:r>
      <w:r w:rsidR="00D50122" w:rsidRPr="00D50122">
        <w:rPr>
          <w:rFonts w:cs="Times New Roman"/>
        </w:rPr>
        <w:t xml:space="preserve">significant </w:t>
      </w:r>
      <w:r w:rsidR="00BA56CD">
        <w:rPr>
          <w:rFonts w:cs="Times New Roman"/>
        </w:rPr>
        <w:t xml:space="preserve">geographical </w:t>
      </w:r>
      <w:r w:rsidR="00D50122" w:rsidRPr="00D50122">
        <w:rPr>
          <w:rFonts w:cs="Times New Roman"/>
        </w:rPr>
        <w:t xml:space="preserve">difference in the levels of late diagnosis across the </w:t>
      </w:r>
      <w:r w:rsidR="00BA56CD">
        <w:rPr>
          <w:rFonts w:cs="Times New Roman"/>
        </w:rPr>
        <w:t xml:space="preserve">region although </w:t>
      </w:r>
      <w:r w:rsidR="00CA23BD">
        <w:rPr>
          <w:rFonts w:cs="Times New Roman"/>
        </w:rPr>
        <w:t xml:space="preserve">the majority of </w:t>
      </w:r>
      <w:r w:rsidR="00BA56CD">
        <w:rPr>
          <w:rFonts w:cs="Times New Roman"/>
        </w:rPr>
        <w:t>elective HIV test</w:t>
      </w:r>
      <w:r w:rsidR="00D64615">
        <w:rPr>
          <w:rFonts w:cs="Times New Roman"/>
        </w:rPr>
        <w:t xml:space="preserve">s </w:t>
      </w:r>
      <w:r w:rsidR="005F561B">
        <w:rPr>
          <w:rFonts w:cs="Times New Roman"/>
        </w:rPr>
        <w:t xml:space="preserve">in France </w:t>
      </w:r>
      <w:r w:rsidR="00CA23BD">
        <w:rPr>
          <w:rFonts w:cs="Times New Roman"/>
        </w:rPr>
        <w:t xml:space="preserve">take place in </w:t>
      </w:r>
      <w:r w:rsidR="00BA56CD">
        <w:rPr>
          <w:rFonts w:cs="Times New Roman"/>
        </w:rPr>
        <w:t>commercial pathology laboratories</w:t>
      </w:r>
      <w:r w:rsidR="005F561B">
        <w:rPr>
          <w:rFonts w:cs="Times New Roman"/>
        </w:rPr>
        <w:t xml:space="preserve"> or local HIV/AIDS charity centres at the suggestion of the GP. </w:t>
      </w:r>
      <w:r w:rsidR="00BA56CD">
        <w:rPr>
          <w:rFonts w:cs="Times New Roman"/>
        </w:rPr>
        <w:t xml:space="preserve"> The proportion of men and women in the French data set was more equally balance</w:t>
      </w:r>
      <w:r w:rsidR="00CA23BD">
        <w:rPr>
          <w:rFonts w:cs="Times New Roman"/>
        </w:rPr>
        <w:t>d</w:t>
      </w:r>
      <w:r w:rsidR="00BA56CD">
        <w:rPr>
          <w:rFonts w:cs="Times New Roman"/>
        </w:rPr>
        <w:t xml:space="preserve"> between men (</w:t>
      </w:r>
      <w:r w:rsidR="00741215">
        <w:rPr>
          <w:rFonts w:cs="Times New Roman"/>
        </w:rPr>
        <w:t>n=</w:t>
      </w:r>
      <w:r w:rsidR="00BA56CD">
        <w:rPr>
          <w:rFonts w:cs="Times New Roman"/>
        </w:rPr>
        <w:t>89) and women (</w:t>
      </w:r>
      <w:r w:rsidR="00741215">
        <w:rPr>
          <w:rFonts w:cs="Times New Roman"/>
        </w:rPr>
        <w:t>n=</w:t>
      </w:r>
      <w:r w:rsidR="00BA56CD">
        <w:rPr>
          <w:rFonts w:cs="Times New Roman"/>
        </w:rPr>
        <w:t>77)</w:t>
      </w:r>
      <w:r w:rsidR="007021CE">
        <w:rPr>
          <w:rFonts w:cs="Times New Roman"/>
        </w:rPr>
        <w:t xml:space="preserve">. </w:t>
      </w:r>
      <w:r w:rsidR="000D77EA">
        <w:rPr>
          <w:rFonts w:cs="Times New Roman"/>
        </w:rPr>
        <w:t>M</w:t>
      </w:r>
      <w:r w:rsidR="00320A8B">
        <w:rPr>
          <w:rFonts w:cs="Times New Roman"/>
        </w:rPr>
        <w:t xml:space="preserve">en </w:t>
      </w:r>
      <w:r w:rsidR="007021CE">
        <w:rPr>
          <w:rFonts w:cs="Times New Roman"/>
        </w:rPr>
        <w:t xml:space="preserve">tended to be diagnosed earlier </w:t>
      </w:r>
      <w:r w:rsidR="00320A8B">
        <w:rPr>
          <w:rFonts w:cs="Times New Roman"/>
        </w:rPr>
        <w:t>than women (</w:t>
      </w:r>
      <w:r w:rsidR="00320A8B" w:rsidRPr="00320A8B">
        <w:rPr>
          <w:rFonts w:cs="Times New Roman"/>
        </w:rPr>
        <w:t>47</w:t>
      </w:r>
      <w:r w:rsidR="00320A8B">
        <w:rPr>
          <w:rFonts w:cs="Times New Roman"/>
        </w:rPr>
        <w:t xml:space="preserve"> or </w:t>
      </w:r>
      <w:r w:rsidR="00320A8B" w:rsidRPr="00320A8B">
        <w:rPr>
          <w:rFonts w:cs="Times New Roman"/>
        </w:rPr>
        <w:t>52.81</w:t>
      </w:r>
      <w:r w:rsidR="00320A8B">
        <w:rPr>
          <w:rFonts w:cs="Times New Roman"/>
        </w:rPr>
        <w:t xml:space="preserve">% versus </w:t>
      </w:r>
      <w:r w:rsidR="00320A8B" w:rsidRPr="00320A8B">
        <w:rPr>
          <w:rFonts w:cs="Times New Roman"/>
        </w:rPr>
        <w:t>36</w:t>
      </w:r>
      <w:r w:rsidR="00320A8B">
        <w:rPr>
          <w:rFonts w:cs="Times New Roman"/>
        </w:rPr>
        <w:t xml:space="preserve"> or </w:t>
      </w:r>
      <w:r w:rsidR="00320A8B" w:rsidRPr="00320A8B">
        <w:rPr>
          <w:rFonts w:cs="Times New Roman"/>
        </w:rPr>
        <w:t>46.75</w:t>
      </w:r>
      <w:r w:rsidR="00320A8B">
        <w:rPr>
          <w:rFonts w:cs="Times New Roman"/>
        </w:rPr>
        <w:t>% for women)</w:t>
      </w:r>
      <w:r w:rsidR="000D77EA">
        <w:rPr>
          <w:rFonts w:cs="Times New Roman"/>
        </w:rPr>
        <w:t xml:space="preserve">. Although not statistically significant, this highlights once again the </w:t>
      </w:r>
      <w:r w:rsidR="007021CE">
        <w:rPr>
          <w:rFonts w:cs="Times New Roman"/>
        </w:rPr>
        <w:t xml:space="preserve">gender imbalance </w:t>
      </w:r>
      <w:r w:rsidR="000D77EA">
        <w:rPr>
          <w:rFonts w:cs="Times New Roman"/>
        </w:rPr>
        <w:t xml:space="preserve">in early and late diagnoses in </w:t>
      </w:r>
      <w:r w:rsidR="007021CE">
        <w:rPr>
          <w:rFonts w:cs="Times New Roman"/>
        </w:rPr>
        <w:t xml:space="preserve">both countries.  </w:t>
      </w:r>
      <w:r w:rsidR="001A23A2">
        <w:rPr>
          <w:rFonts w:cs="Times New Roman"/>
        </w:rPr>
        <w:t xml:space="preserve"> </w:t>
      </w:r>
    </w:p>
    <w:p w:rsidR="00D50122" w:rsidRPr="00D50122" w:rsidRDefault="00355830" w:rsidP="006F3809">
      <w:pPr>
        <w:spacing w:after="0" w:line="480" w:lineRule="auto"/>
        <w:ind w:firstLine="720"/>
        <w:rPr>
          <w:rFonts w:cs="Times New Roman"/>
        </w:rPr>
      </w:pPr>
      <w:r>
        <w:rPr>
          <w:rFonts w:cs="Times New Roman"/>
        </w:rPr>
        <w:t xml:space="preserve">Fewer </w:t>
      </w:r>
      <w:r w:rsidR="00320A8B">
        <w:rPr>
          <w:rFonts w:cs="Times New Roman"/>
        </w:rPr>
        <w:t>p</w:t>
      </w:r>
      <w:r w:rsidR="00D50122" w:rsidRPr="00D50122">
        <w:rPr>
          <w:rFonts w:cs="Times New Roman"/>
        </w:rPr>
        <w:t>atients born outside France were diagnosed late</w:t>
      </w:r>
      <w:r>
        <w:rPr>
          <w:rFonts w:cs="Times New Roman"/>
        </w:rPr>
        <w:t xml:space="preserve"> than those born outside the UK</w:t>
      </w:r>
      <w:r w:rsidR="00320A8B">
        <w:rPr>
          <w:rFonts w:cs="Times New Roman"/>
        </w:rPr>
        <w:t xml:space="preserve"> (</w:t>
      </w:r>
      <w:r w:rsidR="00320A8B" w:rsidRPr="00320A8B">
        <w:rPr>
          <w:rFonts w:cs="Times New Roman"/>
        </w:rPr>
        <w:t>35</w:t>
      </w:r>
      <w:r w:rsidR="00320A8B">
        <w:rPr>
          <w:rFonts w:cs="Times New Roman"/>
        </w:rPr>
        <w:t xml:space="preserve"> or </w:t>
      </w:r>
      <w:r w:rsidR="00320A8B" w:rsidRPr="00320A8B">
        <w:rPr>
          <w:rFonts w:cs="Times New Roman"/>
        </w:rPr>
        <w:t>41.18</w:t>
      </w:r>
      <w:r w:rsidR="00320A8B">
        <w:rPr>
          <w:rFonts w:cs="Times New Roman"/>
        </w:rPr>
        <w:t xml:space="preserve">% versus </w:t>
      </w:r>
      <w:r w:rsidR="00320A8B" w:rsidRPr="00320A8B">
        <w:rPr>
          <w:rFonts w:cs="Times New Roman"/>
        </w:rPr>
        <w:t>47</w:t>
      </w:r>
      <w:r w:rsidR="00320A8B">
        <w:rPr>
          <w:rFonts w:cs="Times New Roman"/>
        </w:rPr>
        <w:t xml:space="preserve"> or </w:t>
      </w:r>
      <w:r w:rsidR="00320A8B" w:rsidRPr="00320A8B">
        <w:rPr>
          <w:rFonts w:cs="Times New Roman"/>
        </w:rPr>
        <w:t>58.75</w:t>
      </w:r>
      <w:r w:rsidR="00320A8B">
        <w:rPr>
          <w:rFonts w:cs="Times New Roman"/>
        </w:rPr>
        <w:t>% for French born citizens)</w:t>
      </w:r>
      <w:r>
        <w:rPr>
          <w:rFonts w:cs="Times New Roman"/>
        </w:rPr>
        <w:t xml:space="preserve">, though ‘French born’ also includes people born in </w:t>
      </w:r>
      <w:r w:rsidR="00320A8B">
        <w:rPr>
          <w:rFonts w:cs="Times New Roman"/>
        </w:rPr>
        <w:t>French overseas territories</w:t>
      </w:r>
      <w:r w:rsidR="00D64615">
        <w:rPr>
          <w:rFonts w:cs="Times New Roman"/>
        </w:rPr>
        <w:t xml:space="preserve"> or </w:t>
      </w:r>
      <w:r w:rsidR="00320A8B">
        <w:rPr>
          <w:rFonts w:cs="Times New Roman"/>
        </w:rPr>
        <w:t>départements et t</w:t>
      </w:r>
      <w:r w:rsidR="00320A8B" w:rsidRPr="00320A8B">
        <w:rPr>
          <w:rFonts w:cs="Times New Roman"/>
        </w:rPr>
        <w:t>erritoires d'outre-mer</w:t>
      </w:r>
      <w:r w:rsidR="00320A8B">
        <w:rPr>
          <w:rFonts w:cs="Times New Roman"/>
        </w:rPr>
        <w:t xml:space="preserve"> </w:t>
      </w:r>
      <w:r w:rsidR="00D64615">
        <w:rPr>
          <w:rFonts w:cs="Times New Roman"/>
        </w:rPr>
        <w:t xml:space="preserve">in the </w:t>
      </w:r>
      <w:r w:rsidR="00042118">
        <w:rPr>
          <w:rFonts w:cs="Times New Roman"/>
        </w:rPr>
        <w:t>Caribbean</w:t>
      </w:r>
      <w:r w:rsidR="00D64615">
        <w:rPr>
          <w:rFonts w:cs="Times New Roman"/>
        </w:rPr>
        <w:t>, Indian Ocean and Pacific</w:t>
      </w:r>
      <w:r>
        <w:rPr>
          <w:rFonts w:cs="Times New Roman"/>
        </w:rPr>
        <w:t xml:space="preserve">. Some of these </w:t>
      </w:r>
      <w:r w:rsidR="00D64615">
        <w:rPr>
          <w:rFonts w:cs="Times New Roman"/>
        </w:rPr>
        <w:t>have relatively high</w:t>
      </w:r>
      <w:r>
        <w:rPr>
          <w:rFonts w:cs="Times New Roman"/>
        </w:rPr>
        <w:t xml:space="preserve">er </w:t>
      </w:r>
      <w:r w:rsidR="00D64615">
        <w:rPr>
          <w:rFonts w:cs="Times New Roman"/>
        </w:rPr>
        <w:t xml:space="preserve">rates of HIV infection </w:t>
      </w:r>
      <w:r>
        <w:rPr>
          <w:rFonts w:cs="Times New Roman"/>
        </w:rPr>
        <w:t xml:space="preserve">than mainland France, but enjoy the same </w:t>
      </w:r>
      <w:r w:rsidR="00D64615">
        <w:rPr>
          <w:rFonts w:cs="Times New Roman"/>
        </w:rPr>
        <w:t>citizens</w:t>
      </w:r>
      <w:r>
        <w:rPr>
          <w:rFonts w:cs="Times New Roman"/>
        </w:rPr>
        <w:t xml:space="preserve">hip </w:t>
      </w:r>
      <w:r w:rsidR="00D64615">
        <w:rPr>
          <w:rFonts w:cs="Times New Roman"/>
        </w:rPr>
        <w:t xml:space="preserve">rights </w:t>
      </w:r>
      <w:r>
        <w:rPr>
          <w:rFonts w:cs="Times New Roman"/>
        </w:rPr>
        <w:t xml:space="preserve">as those born in the country. </w:t>
      </w:r>
      <w:r w:rsidR="001A23A2">
        <w:rPr>
          <w:rFonts w:cs="Times New Roman"/>
        </w:rPr>
        <w:t>D</w:t>
      </w:r>
      <w:r w:rsidR="00CA23BD">
        <w:rPr>
          <w:rFonts w:cs="Times New Roman"/>
        </w:rPr>
        <w:t xml:space="preserve">irect comparison between the two national data sets </w:t>
      </w:r>
      <w:r w:rsidR="001A23A2">
        <w:rPr>
          <w:rFonts w:cs="Times New Roman"/>
        </w:rPr>
        <w:t xml:space="preserve">is therefore </w:t>
      </w:r>
      <w:r w:rsidR="00CA23BD">
        <w:rPr>
          <w:rFonts w:cs="Times New Roman"/>
        </w:rPr>
        <w:t>difficult</w:t>
      </w:r>
      <w:r w:rsidR="001A23A2">
        <w:rPr>
          <w:rFonts w:cs="Times New Roman"/>
        </w:rPr>
        <w:t>.</w:t>
      </w:r>
      <w:r w:rsidR="00CA23BD">
        <w:rPr>
          <w:rFonts w:cs="Times New Roman"/>
        </w:rPr>
        <w:t xml:space="preserve"> </w:t>
      </w:r>
    </w:p>
    <w:p w:rsidR="002B58C7" w:rsidRDefault="00CA23BD" w:rsidP="006F3809">
      <w:pPr>
        <w:spacing w:line="480" w:lineRule="auto"/>
        <w:ind w:firstLine="720"/>
        <w:rPr>
          <w:b/>
          <w:color w:val="C00000"/>
          <w:sz w:val="24"/>
          <w:szCs w:val="24"/>
        </w:rPr>
      </w:pPr>
      <w:r>
        <w:rPr>
          <w:rFonts w:cs="Times New Roman"/>
        </w:rPr>
        <w:t xml:space="preserve">As in the UK, </w:t>
      </w:r>
      <w:r w:rsidR="00D50122" w:rsidRPr="00D50122">
        <w:rPr>
          <w:rFonts w:cs="Times New Roman"/>
        </w:rPr>
        <w:t xml:space="preserve">the </w:t>
      </w:r>
      <w:r>
        <w:rPr>
          <w:rFonts w:cs="Times New Roman"/>
        </w:rPr>
        <w:t xml:space="preserve">largest number of HIV diagnoses occurred in </w:t>
      </w:r>
      <w:r w:rsidR="00D50122" w:rsidRPr="00D50122">
        <w:rPr>
          <w:rFonts w:cs="Times New Roman"/>
        </w:rPr>
        <w:t>heterosexual</w:t>
      </w:r>
      <w:r>
        <w:rPr>
          <w:rFonts w:cs="Times New Roman"/>
        </w:rPr>
        <w:t>s</w:t>
      </w:r>
      <w:r w:rsidR="00D50122" w:rsidRPr="00D50122">
        <w:rPr>
          <w:rFonts w:cs="Times New Roman"/>
        </w:rPr>
        <w:t xml:space="preserve"> </w:t>
      </w:r>
      <w:r w:rsidR="007021CE">
        <w:rPr>
          <w:rFonts w:cs="Times New Roman"/>
        </w:rPr>
        <w:t xml:space="preserve">(n=119) </w:t>
      </w:r>
      <w:r w:rsidR="00D50122" w:rsidRPr="00D50122">
        <w:rPr>
          <w:rFonts w:cs="Times New Roman"/>
        </w:rPr>
        <w:t>and MSM</w:t>
      </w:r>
      <w:r>
        <w:rPr>
          <w:rFonts w:cs="Times New Roman"/>
        </w:rPr>
        <w:t>s</w:t>
      </w:r>
      <w:r w:rsidR="007021CE">
        <w:rPr>
          <w:rFonts w:cs="Times New Roman"/>
        </w:rPr>
        <w:t xml:space="preserve"> (n=35)</w:t>
      </w:r>
      <w:r w:rsidR="00A16FE2">
        <w:rPr>
          <w:rFonts w:cs="Times New Roman"/>
        </w:rPr>
        <w:t>, with</w:t>
      </w:r>
      <w:r>
        <w:rPr>
          <w:rFonts w:cs="Times New Roman"/>
        </w:rPr>
        <w:t xml:space="preserve"> similarly </w:t>
      </w:r>
      <w:r w:rsidR="00D50122" w:rsidRPr="00D50122">
        <w:rPr>
          <w:rFonts w:cs="Times New Roman"/>
        </w:rPr>
        <w:t xml:space="preserve">small numbers </w:t>
      </w:r>
      <w:r w:rsidR="00A16FE2">
        <w:rPr>
          <w:rFonts w:cs="Times New Roman"/>
        </w:rPr>
        <w:t xml:space="preserve">of </w:t>
      </w:r>
      <w:r w:rsidR="00D50122" w:rsidRPr="00D50122">
        <w:rPr>
          <w:rFonts w:cs="Times New Roman"/>
        </w:rPr>
        <w:t>I</w:t>
      </w:r>
      <w:r>
        <w:rPr>
          <w:rFonts w:cs="Times New Roman"/>
        </w:rPr>
        <w:t>V</w:t>
      </w:r>
      <w:r w:rsidR="00D50122" w:rsidRPr="00D50122">
        <w:rPr>
          <w:rFonts w:cs="Times New Roman"/>
        </w:rPr>
        <w:t>DU</w:t>
      </w:r>
      <w:r>
        <w:rPr>
          <w:rFonts w:cs="Times New Roman"/>
        </w:rPr>
        <w:t>s</w:t>
      </w:r>
      <w:r w:rsidR="00D50122" w:rsidRPr="00D50122">
        <w:rPr>
          <w:rFonts w:cs="Times New Roman"/>
        </w:rPr>
        <w:t xml:space="preserve"> </w:t>
      </w:r>
      <w:r w:rsidR="007021CE">
        <w:rPr>
          <w:rFonts w:cs="Times New Roman"/>
        </w:rPr>
        <w:t xml:space="preserve">(n=1) </w:t>
      </w:r>
      <w:r w:rsidR="00D50122" w:rsidRPr="00D50122">
        <w:rPr>
          <w:rFonts w:cs="Times New Roman"/>
        </w:rPr>
        <w:t>and other</w:t>
      </w:r>
      <w:r>
        <w:rPr>
          <w:rFonts w:cs="Times New Roman"/>
        </w:rPr>
        <w:t xml:space="preserve">s </w:t>
      </w:r>
      <w:r w:rsidR="007021CE">
        <w:rPr>
          <w:rFonts w:cs="Times New Roman"/>
        </w:rPr>
        <w:t xml:space="preserve">(n=10) </w:t>
      </w:r>
      <w:r>
        <w:rPr>
          <w:rFonts w:cs="Times New Roman"/>
        </w:rPr>
        <w:t xml:space="preserve">affected. </w:t>
      </w:r>
      <w:r w:rsidR="00D50122" w:rsidRPr="00D50122">
        <w:rPr>
          <w:rFonts w:cs="Times New Roman"/>
        </w:rPr>
        <w:t xml:space="preserve">The </w:t>
      </w:r>
      <w:r w:rsidR="00A16FE2">
        <w:rPr>
          <w:rFonts w:cs="Times New Roman"/>
        </w:rPr>
        <w:t xml:space="preserve">transmission </w:t>
      </w:r>
      <w:r w:rsidR="00D50122" w:rsidRPr="00D50122">
        <w:rPr>
          <w:rFonts w:cs="Times New Roman"/>
        </w:rPr>
        <w:t xml:space="preserve">profile of groups </w:t>
      </w:r>
      <w:r w:rsidR="00A16FE2">
        <w:rPr>
          <w:rFonts w:cs="Times New Roman"/>
        </w:rPr>
        <w:t>in France also varied</w:t>
      </w:r>
      <w:r w:rsidR="00D50122" w:rsidRPr="00D50122">
        <w:rPr>
          <w:rFonts w:cs="Times New Roman"/>
        </w:rPr>
        <w:t xml:space="preserve"> markedly by country of birth</w:t>
      </w:r>
      <w:r w:rsidR="00A16FE2">
        <w:rPr>
          <w:rFonts w:cs="Times New Roman"/>
        </w:rPr>
        <w:t xml:space="preserve"> with 56% of French</w:t>
      </w:r>
      <w:r w:rsidR="00937431">
        <w:rPr>
          <w:rFonts w:cs="Times New Roman"/>
        </w:rPr>
        <w:t>-</w:t>
      </w:r>
      <w:r w:rsidR="00D50122" w:rsidRPr="00D50122">
        <w:rPr>
          <w:rFonts w:cs="Times New Roman"/>
        </w:rPr>
        <w:lastRenderedPageBreak/>
        <w:t xml:space="preserve">born </w:t>
      </w:r>
      <w:r w:rsidR="00A16FE2">
        <w:rPr>
          <w:rFonts w:cs="Times New Roman"/>
        </w:rPr>
        <w:t xml:space="preserve">and 88% of </w:t>
      </w:r>
      <w:r w:rsidR="00937431">
        <w:rPr>
          <w:rFonts w:cs="Times New Roman"/>
        </w:rPr>
        <w:t>foreign-born</w:t>
      </w:r>
      <w:r w:rsidR="00A16FE2">
        <w:rPr>
          <w:rFonts w:cs="Times New Roman"/>
        </w:rPr>
        <w:t xml:space="preserve"> </w:t>
      </w:r>
      <w:r w:rsidR="00937431">
        <w:rPr>
          <w:rFonts w:cs="Times New Roman"/>
        </w:rPr>
        <w:t>patients identifying as h</w:t>
      </w:r>
      <w:r w:rsidR="00A16FE2">
        <w:rPr>
          <w:rFonts w:cs="Times New Roman"/>
        </w:rPr>
        <w:t xml:space="preserve">eterosexual. </w:t>
      </w:r>
      <w:r w:rsidR="00051292" w:rsidRPr="00051292">
        <w:rPr>
          <w:rFonts w:cs="Times New Roman"/>
        </w:rPr>
        <w:t xml:space="preserve">The median delay between arrival in France and HIV screening </w:t>
      </w:r>
      <w:r w:rsidR="00051292">
        <w:rPr>
          <w:rFonts w:cs="Times New Roman"/>
        </w:rPr>
        <w:t xml:space="preserve">in non-French born patients was one year </w:t>
      </w:r>
      <w:r w:rsidR="00051292" w:rsidRPr="00051292">
        <w:rPr>
          <w:rFonts w:cs="Times New Roman"/>
        </w:rPr>
        <w:t>(</w:t>
      </w:r>
      <w:r w:rsidR="00906B63">
        <w:rPr>
          <w:rFonts w:cs="Times New Roman"/>
        </w:rPr>
        <w:t>p=</w:t>
      </w:r>
      <w:r w:rsidR="00051292" w:rsidRPr="00051292">
        <w:rPr>
          <w:rFonts w:cs="Times New Roman"/>
        </w:rPr>
        <w:t>0</w:t>
      </w:r>
      <w:r w:rsidR="00906B63">
        <w:rPr>
          <w:rFonts w:cs="Times New Roman"/>
        </w:rPr>
        <w:t>.</w:t>
      </w:r>
      <w:r w:rsidR="00051292" w:rsidRPr="00051292">
        <w:rPr>
          <w:rFonts w:cs="Times New Roman"/>
        </w:rPr>
        <w:t>38)</w:t>
      </w:r>
      <w:r w:rsidR="00906B63">
        <w:rPr>
          <w:rFonts w:cs="Times New Roman"/>
        </w:rPr>
        <w:t xml:space="preserve"> with no significant difference between those diagnosed early or late (</w:t>
      </w:r>
      <w:r w:rsidR="00051292" w:rsidRPr="00051292">
        <w:rPr>
          <w:rFonts w:cs="Times New Roman"/>
        </w:rPr>
        <w:t>p=0.66)</w:t>
      </w:r>
      <w:r w:rsidR="00906B63">
        <w:rPr>
          <w:rFonts w:cs="Times New Roman"/>
        </w:rPr>
        <w:t xml:space="preserve">. </w:t>
      </w:r>
      <w:r w:rsidR="00A16FE2">
        <w:rPr>
          <w:rFonts w:cs="Times New Roman"/>
        </w:rPr>
        <w:t xml:space="preserve">MSMs </w:t>
      </w:r>
      <w:r w:rsidR="007021CE">
        <w:rPr>
          <w:rFonts w:cs="Times New Roman"/>
        </w:rPr>
        <w:t xml:space="preserve">were more highly represented in the </w:t>
      </w:r>
      <w:r w:rsidR="00A16FE2">
        <w:rPr>
          <w:rFonts w:cs="Times New Roman"/>
        </w:rPr>
        <w:t>French born patients (</w:t>
      </w:r>
      <w:r w:rsidR="00D50122" w:rsidRPr="00D50122">
        <w:rPr>
          <w:rFonts w:cs="Times New Roman"/>
        </w:rPr>
        <w:t>37%</w:t>
      </w:r>
      <w:r w:rsidR="00A16FE2">
        <w:rPr>
          <w:rFonts w:cs="Times New Roman"/>
        </w:rPr>
        <w:t>)</w:t>
      </w:r>
      <w:r w:rsidR="00D50122" w:rsidRPr="00D50122">
        <w:rPr>
          <w:rFonts w:cs="Times New Roman"/>
        </w:rPr>
        <w:t xml:space="preserve"> </w:t>
      </w:r>
      <w:r w:rsidR="00A16FE2">
        <w:rPr>
          <w:rFonts w:cs="Times New Roman"/>
        </w:rPr>
        <w:t xml:space="preserve">than those born </w:t>
      </w:r>
      <w:r w:rsidR="00937431">
        <w:rPr>
          <w:rFonts w:cs="Times New Roman"/>
        </w:rPr>
        <w:t xml:space="preserve">outside </w:t>
      </w:r>
      <w:r w:rsidR="007021CE">
        <w:rPr>
          <w:rFonts w:cs="Times New Roman"/>
        </w:rPr>
        <w:t xml:space="preserve">of </w:t>
      </w:r>
      <w:r w:rsidR="00937431">
        <w:rPr>
          <w:rFonts w:cs="Times New Roman"/>
        </w:rPr>
        <w:t>France</w:t>
      </w:r>
      <w:r w:rsidR="00A16FE2">
        <w:rPr>
          <w:rFonts w:cs="Times New Roman"/>
        </w:rPr>
        <w:t xml:space="preserve"> (5</w:t>
      </w:r>
      <w:r w:rsidR="00D50122" w:rsidRPr="00D50122">
        <w:rPr>
          <w:rFonts w:cs="Times New Roman"/>
        </w:rPr>
        <w:t>%</w:t>
      </w:r>
      <w:r w:rsidR="00A16FE2">
        <w:rPr>
          <w:rFonts w:cs="Times New Roman"/>
        </w:rPr>
        <w:t>)</w:t>
      </w:r>
      <w:r w:rsidR="00937431">
        <w:rPr>
          <w:rFonts w:cs="Times New Roman"/>
        </w:rPr>
        <w:t xml:space="preserve">, although these also had higher rates of early diagnosis (57%) than </w:t>
      </w:r>
      <w:r w:rsidR="007021CE">
        <w:rPr>
          <w:rFonts w:cs="Times New Roman"/>
        </w:rPr>
        <w:t xml:space="preserve">their </w:t>
      </w:r>
      <w:r w:rsidR="00937431">
        <w:rPr>
          <w:rFonts w:cs="Times New Roman"/>
        </w:rPr>
        <w:t>heterosexual</w:t>
      </w:r>
      <w:r w:rsidR="007021CE">
        <w:rPr>
          <w:rFonts w:cs="Times New Roman"/>
        </w:rPr>
        <w:t xml:space="preserve"> counterparts</w:t>
      </w:r>
      <w:r w:rsidR="00724910">
        <w:rPr>
          <w:rFonts w:cs="Times New Roman"/>
        </w:rPr>
        <w:t xml:space="preserve"> who </w:t>
      </w:r>
      <w:r w:rsidR="00937431">
        <w:rPr>
          <w:rFonts w:cs="Times New Roman"/>
        </w:rPr>
        <w:t>were diagnosed early in only 47</w:t>
      </w:r>
      <w:r w:rsidR="00724910">
        <w:rPr>
          <w:rFonts w:cs="Times New Roman"/>
        </w:rPr>
        <w:t>.1</w:t>
      </w:r>
      <w:r w:rsidR="00937431">
        <w:rPr>
          <w:rFonts w:cs="Times New Roman"/>
        </w:rPr>
        <w:t xml:space="preserve">% of cases although this is not </w:t>
      </w:r>
      <w:r w:rsidR="00D50122" w:rsidRPr="00D50122">
        <w:rPr>
          <w:rFonts w:cs="Times New Roman"/>
        </w:rPr>
        <w:t>statistically significant</w:t>
      </w:r>
      <w:r w:rsidR="00724910">
        <w:rPr>
          <w:rFonts w:cs="Times New Roman"/>
        </w:rPr>
        <w:t>, and the single IVDU was diagnosed early</w:t>
      </w:r>
      <w:r w:rsidR="00D50122" w:rsidRPr="00D50122">
        <w:rPr>
          <w:rFonts w:cs="Times New Roman"/>
        </w:rPr>
        <w:t>.</w:t>
      </w:r>
      <w:r w:rsidR="00051292">
        <w:rPr>
          <w:rFonts w:cs="Times New Roman"/>
        </w:rPr>
        <w:t xml:space="preserve"> </w:t>
      </w:r>
      <w:r w:rsidR="00906B63" w:rsidRPr="00906B63">
        <w:rPr>
          <w:rFonts w:cs="Times New Roman"/>
        </w:rPr>
        <w:t xml:space="preserve">Comorbidities </w:t>
      </w:r>
      <w:r w:rsidR="00405C4F">
        <w:rPr>
          <w:rFonts w:cs="Times New Roman"/>
        </w:rPr>
        <w:t>such as respiratory</w:t>
      </w:r>
      <w:r w:rsidR="0037150C">
        <w:rPr>
          <w:rFonts w:cs="Times New Roman"/>
        </w:rPr>
        <w:t xml:space="preserve">, renal and dermatological </w:t>
      </w:r>
      <w:r w:rsidR="00EB5A8B">
        <w:rPr>
          <w:rFonts w:cs="Times New Roman"/>
        </w:rPr>
        <w:t xml:space="preserve">problems </w:t>
      </w:r>
      <w:r w:rsidR="00906B63">
        <w:rPr>
          <w:rFonts w:cs="Times New Roman"/>
        </w:rPr>
        <w:t>were more co</w:t>
      </w:r>
      <w:r w:rsidR="00543AD8">
        <w:rPr>
          <w:rFonts w:cs="Times New Roman"/>
        </w:rPr>
        <w:t>mmon in those diagnosed late (58.75</w:t>
      </w:r>
      <w:r w:rsidR="00906B63">
        <w:rPr>
          <w:rFonts w:cs="Times New Roman"/>
        </w:rPr>
        <w:t xml:space="preserve">% or 47 patients compared to </w:t>
      </w:r>
      <w:r w:rsidR="00543AD8">
        <w:rPr>
          <w:rFonts w:cs="Times New Roman"/>
        </w:rPr>
        <w:t>41.25</w:t>
      </w:r>
      <w:r w:rsidR="00906B63">
        <w:rPr>
          <w:rFonts w:cs="Times New Roman"/>
        </w:rPr>
        <w:t>% or 33 patients)</w:t>
      </w:r>
      <w:r w:rsidR="00405C4F">
        <w:rPr>
          <w:rFonts w:cs="Times New Roman"/>
        </w:rPr>
        <w:t xml:space="preserve">; </w:t>
      </w:r>
      <w:r w:rsidR="00161EF3">
        <w:rPr>
          <w:rFonts w:cs="Times New Roman"/>
        </w:rPr>
        <w:t xml:space="preserve">a marginally smaller proportion than in the UK, </w:t>
      </w:r>
      <w:r w:rsidR="00543AD8">
        <w:rPr>
          <w:rFonts w:cs="Times New Roman"/>
        </w:rPr>
        <w:t xml:space="preserve">although </w:t>
      </w:r>
      <w:r w:rsidR="00906B63">
        <w:rPr>
          <w:rFonts w:cs="Times New Roman"/>
        </w:rPr>
        <w:t xml:space="preserve">40 </w:t>
      </w:r>
      <w:r w:rsidR="00543AD8">
        <w:rPr>
          <w:rFonts w:cs="Times New Roman"/>
        </w:rPr>
        <w:t xml:space="preserve">of those (50%) diagnosed early also had </w:t>
      </w:r>
      <w:r w:rsidR="00906B63">
        <w:rPr>
          <w:rFonts w:cs="Times New Roman"/>
        </w:rPr>
        <w:t>one or more comorbidities</w:t>
      </w:r>
      <w:r w:rsidR="00543AD8">
        <w:rPr>
          <w:rFonts w:cs="Times New Roman"/>
        </w:rPr>
        <w:t xml:space="preserve"> </w:t>
      </w:r>
      <w:r w:rsidR="0037150C">
        <w:rPr>
          <w:rFonts w:cs="Times New Roman"/>
        </w:rPr>
        <w:t xml:space="preserve">including haematological problems (malaria/sickle cell) or gynaecological problems </w:t>
      </w:r>
      <w:r w:rsidR="00543AD8">
        <w:rPr>
          <w:rFonts w:cs="Times New Roman"/>
        </w:rPr>
        <w:t>at the time of diagnosis</w:t>
      </w:r>
      <w:r w:rsidR="00161EF3">
        <w:rPr>
          <w:rFonts w:cs="Times New Roman"/>
        </w:rPr>
        <w:t>, a figure higher than in the UK</w:t>
      </w:r>
      <w:r w:rsidR="00906B63">
        <w:rPr>
          <w:rFonts w:cs="Times New Roman"/>
        </w:rPr>
        <w:t xml:space="preserve">.  </w:t>
      </w:r>
    </w:p>
    <w:p w:rsidR="00B8794B" w:rsidRDefault="00B8794B" w:rsidP="00BF5604">
      <w:pPr>
        <w:spacing w:after="0" w:line="480" w:lineRule="auto"/>
        <w:rPr>
          <w:rFonts w:cs="Times New Roman"/>
          <w:b/>
        </w:rPr>
      </w:pPr>
      <w:r>
        <w:rPr>
          <w:rFonts w:cs="Times New Roman"/>
          <w:b/>
        </w:rPr>
        <w:t>Discussion</w:t>
      </w:r>
      <w:r w:rsidRPr="00E26753">
        <w:rPr>
          <w:rFonts w:cs="Times New Roman"/>
          <w:b/>
        </w:rPr>
        <w:t xml:space="preserve"> </w:t>
      </w:r>
    </w:p>
    <w:p w:rsidR="001A23A2" w:rsidRDefault="00766474" w:rsidP="006F3809">
      <w:pPr>
        <w:spacing w:after="0" w:line="480" w:lineRule="auto"/>
        <w:rPr>
          <w:rFonts w:cs="Times New Roman"/>
        </w:rPr>
      </w:pPr>
      <w:r w:rsidRPr="00E26753">
        <w:rPr>
          <w:rFonts w:cs="Times New Roman"/>
        </w:rPr>
        <w:t>A review of the literature</w:t>
      </w:r>
      <w:r w:rsidR="00B8794B">
        <w:rPr>
          <w:rFonts w:cs="Times New Roman"/>
        </w:rPr>
        <w:t xml:space="preserve"> conducted prior to the study</w:t>
      </w:r>
      <w:r w:rsidRPr="00E26753">
        <w:rPr>
          <w:rFonts w:cs="Times New Roman"/>
        </w:rPr>
        <w:t xml:space="preserve"> </w:t>
      </w:r>
      <w:r>
        <w:rPr>
          <w:rFonts w:cs="Times New Roman"/>
        </w:rPr>
        <w:t>[1</w:t>
      </w:r>
      <w:r w:rsidR="00CC70C3">
        <w:rPr>
          <w:rFonts w:cs="Times New Roman"/>
        </w:rPr>
        <w:t>2</w:t>
      </w:r>
      <w:r>
        <w:rPr>
          <w:rFonts w:cs="Times New Roman"/>
        </w:rPr>
        <w:t xml:space="preserve">] </w:t>
      </w:r>
      <w:r w:rsidRPr="00E26753">
        <w:rPr>
          <w:rFonts w:cs="Times New Roman"/>
        </w:rPr>
        <w:t>identified a number of reasons for late diagnosis</w:t>
      </w:r>
      <w:r w:rsidR="00B8794B">
        <w:rPr>
          <w:rFonts w:cs="Times New Roman"/>
        </w:rPr>
        <w:t>,</w:t>
      </w:r>
      <w:r w:rsidRPr="00E26753">
        <w:rPr>
          <w:rFonts w:cs="Times New Roman"/>
        </w:rPr>
        <w:t xml:space="preserve"> although </w:t>
      </w:r>
      <w:r>
        <w:rPr>
          <w:rFonts w:cs="Times New Roman"/>
        </w:rPr>
        <w:t xml:space="preserve">relatively </w:t>
      </w:r>
      <w:r w:rsidRPr="00E26753">
        <w:rPr>
          <w:rFonts w:cs="Times New Roman"/>
        </w:rPr>
        <w:t xml:space="preserve">few </w:t>
      </w:r>
      <w:r>
        <w:rPr>
          <w:rFonts w:cs="Times New Roman"/>
        </w:rPr>
        <w:t xml:space="preserve">of these papers came from the </w:t>
      </w:r>
      <w:r w:rsidRPr="00E26753">
        <w:rPr>
          <w:rFonts w:cs="Times New Roman"/>
        </w:rPr>
        <w:t>UK or France.  Older age</w:t>
      </w:r>
      <w:r w:rsidR="00A540F0">
        <w:rPr>
          <w:rFonts w:cs="Times New Roman"/>
        </w:rPr>
        <w:t>,</w:t>
      </w:r>
      <w:r w:rsidRPr="00E26753">
        <w:rPr>
          <w:rFonts w:cs="Times New Roman"/>
        </w:rPr>
        <w:t xml:space="preserve"> and living in a region of low prevalence of HIV increased the risk of late diagnosis since individuals (including healthcare professionals</w:t>
      </w:r>
      <w:r>
        <w:rPr>
          <w:rFonts w:cs="Times New Roman"/>
        </w:rPr>
        <w:t xml:space="preserve"> in those areas</w:t>
      </w:r>
      <w:r w:rsidRPr="00E26753">
        <w:rPr>
          <w:rFonts w:cs="Times New Roman"/>
        </w:rPr>
        <w:t>) consider</w:t>
      </w:r>
      <w:r>
        <w:rPr>
          <w:rFonts w:cs="Times New Roman"/>
        </w:rPr>
        <w:t>ed</w:t>
      </w:r>
      <w:r w:rsidRPr="00E26753">
        <w:rPr>
          <w:rFonts w:cs="Times New Roman"/>
        </w:rPr>
        <w:t xml:space="preserve"> </w:t>
      </w:r>
      <w:r>
        <w:rPr>
          <w:rFonts w:cs="Times New Roman"/>
        </w:rPr>
        <w:t xml:space="preserve">the </w:t>
      </w:r>
      <w:r w:rsidRPr="00E26753">
        <w:rPr>
          <w:rFonts w:cs="Times New Roman"/>
        </w:rPr>
        <w:t>risk</w:t>
      </w:r>
      <w:r>
        <w:rPr>
          <w:rFonts w:cs="Times New Roman"/>
        </w:rPr>
        <w:t>s</w:t>
      </w:r>
      <w:r w:rsidRPr="00E26753">
        <w:rPr>
          <w:rFonts w:cs="Times New Roman"/>
        </w:rPr>
        <w:t xml:space="preserve"> of infection to be low</w:t>
      </w:r>
      <w:r>
        <w:rPr>
          <w:rFonts w:cs="Times New Roman"/>
        </w:rPr>
        <w:t>er in such instances</w:t>
      </w:r>
      <w:r w:rsidR="00741215">
        <w:rPr>
          <w:rFonts w:cs="Times New Roman"/>
        </w:rPr>
        <w:t xml:space="preserve"> [</w:t>
      </w:r>
      <w:r>
        <w:rPr>
          <w:rFonts w:cs="Times New Roman"/>
        </w:rPr>
        <w:t>1</w:t>
      </w:r>
      <w:r w:rsidR="00CC70C3">
        <w:rPr>
          <w:rFonts w:cs="Times New Roman"/>
        </w:rPr>
        <w:t>3</w:t>
      </w:r>
      <w:r>
        <w:rPr>
          <w:rFonts w:cs="Times New Roman"/>
        </w:rPr>
        <w:t>, 1</w:t>
      </w:r>
      <w:r w:rsidR="00CC70C3">
        <w:rPr>
          <w:rFonts w:cs="Times New Roman"/>
        </w:rPr>
        <w:t>4</w:t>
      </w:r>
      <w:r w:rsidR="00741215">
        <w:rPr>
          <w:rFonts w:cs="Times New Roman"/>
        </w:rPr>
        <w:t>]</w:t>
      </w:r>
      <w:r w:rsidRPr="00E26753">
        <w:rPr>
          <w:rFonts w:cs="Times New Roman"/>
        </w:rPr>
        <w:t xml:space="preserve">.  Low socio-economic status </w:t>
      </w:r>
      <w:r>
        <w:rPr>
          <w:rFonts w:cs="Times New Roman"/>
        </w:rPr>
        <w:t>(</w:t>
      </w:r>
      <w:r w:rsidRPr="00E26753">
        <w:rPr>
          <w:rFonts w:cs="Times New Roman"/>
        </w:rPr>
        <w:t>as indicated by</w:t>
      </w:r>
      <w:r>
        <w:rPr>
          <w:rFonts w:cs="Times New Roman"/>
        </w:rPr>
        <w:t xml:space="preserve"> </w:t>
      </w:r>
      <w:r w:rsidRPr="00E26753">
        <w:rPr>
          <w:rFonts w:cs="Times New Roman"/>
        </w:rPr>
        <w:t>occupational status</w:t>
      </w:r>
      <w:r>
        <w:rPr>
          <w:rFonts w:cs="Times New Roman"/>
        </w:rPr>
        <w:t xml:space="preserve">) and </w:t>
      </w:r>
      <w:r w:rsidRPr="00E26753">
        <w:rPr>
          <w:rFonts w:cs="Times New Roman"/>
        </w:rPr>
        <w:t>education</w:t>
      </w:r>
      <w:r>
        <w:rPr>
          <w:rFonts w:cs="Times New Roman"/>
        </w:rPr>
        <w:t xml:space="preserve"> levels a</w:t>
      </w:r>
      <w:r w:rsidRPr="00E26753">
        <w:rPr>
          <w:rFonts w:cs="Times New Roman"/>
        </w:rPr>
        <w:t xml:space="preserve">lso </w:t>
      </w:r>
      <w:r>
        <w:rPr>
          <w:rFonts w:cs="Times New Roman"/>
        </w:rPr>
        <w:t xml:space="preserve">correlated in the literature with </w:t>
      </w:r>
      <w:r w:rsidRPr="00E26753">
        <w:rPr>
          <w:rFonts w:cs="Times New Roman"/>
        </w:rPr>
        <w:t>late</w:t>
      </w:r>
      <w:r>
        <w:rPr>
          <w:rFonts w:cs="Times New Roman"/>
        </w:rPr>
        <w:t>r</w:t>
      </w:r>
      <w:r w:rsidRPr="00E26753">
        <w:rPr>
          <w:rFonts w:cs="Times New Roman"/>
        </w:rPr>
        <w:t xml:space="preserve"> diagnosis</w:t>
      </w:r>
      <w:r>
        <w:rPr>
          <w:rFonts w:cs="Times New Roman"/>
        </w:rPr>
        <w:t xml:space="preserve">, </w:t>
      </w:r>
      <w:r w:rsidRPr="00E26753">
        <w:rPr>
          <w:rFonts w:cs="Times New Roman"/>
        </w:rPr>
        <w:t xml:space="preserve">particularly </w:t>
      </w:r>
      <w:r>
        <w:rPr>
          <w:rFonts w:cs="Times New Roman"/>
        </w:rPr>
        <w:t xml:space="preserve">amongst </w:t>
      </w:r>
      <w:r w:rsidRPr="00E26753">
        <w:rPr>
          <w:rFonts w:cs="Times New Roman"/>
        </w:rPr>
        <w:t>heterosexual men</w:t>
      </w:r>
      <w:r>
        <w:rPr>
          <w:rFonts w:cs="Times New Roman"/>
        </w:rPr>
        <w:t xml:space="preserve"> and women</w:t>
      </w:r>
      <w:r w:rsidR="00735989">
        <w:rPr>
          <w:rFonts w:cs="Times New Roman"/>
        </w:rPr>
        <w:t xml:space="preserve">, although it should be noted that migrant </w:t>
      </w:r>
      <w:r w:rsidR="00A540F0">
        <w:rPr>
          <w:rFonts w:cs="Times New Roman"/>
        </w:rPr>
        <w:t xml:space="preserve">or </w:t>
      </w:r>
      <w:r w:rsidR="00735989">
        <w:rPr>
          <w:rFonts w:cs="Times New Roman"/>
        </w:rPr>
        <w:t xml:space="preserve">minority communities </w:t>
      </w:r>
      <w:r w:rsidR="00A540F0">
        <w:rPr>
          <w:rFonts w:cs="Times New Roman"/>
        </w:rPr>
        <w:t>in both countries are also likely to have lower economic status than those born in the UK or France</w:t>
      </w:r>
      <w:r w:rsidR="00741215">
        <w:rPr>
          <w:rFonts w:cs="Times New Roman"/>
        </w:rPr>
        <w:t xml:space="preserve"> [1</w:t>
      </w:r>
      <w:r w:rsidR="00CC70C3">
        <w:rPr>
          <w:rFonts w:cs="Times New Roman"/>
        </w:rPr>
        <w:t>2</w:t>
      </w:r>
      <w:r w:rsidR="00741215">
        <w:rPr>
          <w:rFonts w:cs="Times New Roman"/>
        </w:rPr>
        <w:t>]</w:t>
      </w:r>
      <w:r w:rsidR="00A540F0">
        <w:rPr>
          <w:rFonts w:cs="Times New Roman"/>
        </w:rPr>
        <w:t xml:space="preserve">. </w:t>
      </w:r>
      <w:r w:rsidR="001A23A2">
        <w:rPr>
          <w:rFonts w:cs="Times New Roman"/>
        </w:rPr>
        <w:t xml:space="preserve">Both </w:t>
      </w:r>
      <w:r w:rsidR="00A540F0">
        <w:rPr>
          <w:rFonts w:cs="Times New Roman"/>
        </w:rPr>
        <w:t xml:space="preserve">data sets </w:t>
      </w:r>
      <w:r w:rsidR="00735989">
        <w:rPr>
          <w:rFonts w:cs="Times New Roman"/>
        </w:rPr>
        <w:t>contained large numbers of patients from sub-Saharan Africa, as well as parts of Asia and Eastern Europe where HIV is more prevalent</w:t>
      </w:r>
      <w:r w:rsidR="006F3809">
        <w:rPr>
          <w:rFonts w:cs="Times New Roman"/>
        </w:rPr>
        <w:t xml:space="preserve"> [1]</w:t>
      </w:r>
      <w:r w:rsidR="00735989">
        <w:rPr>
          <w:rFonts w:cs="Times New Roman"/>
        </w:rPr>
        <w:t xml:space="preserve">. </w:t>
      </w:r>
    </w:p>
    <w:p w:rsidR="007B339B" w:rsidRDefault="007B339B" w:rsidP="006F3809">
      <w:pPr>
        <w:spacing w:after="0" w:line="480" w:lineRule="auto"/>
        <w:ind w:firstLine="720"/>
        <w:rPr>
          <w:rFonts w:cs="Times New Roman"/>
        </w:rPr>
      </w:pPr>
      <w:r>
        <w:rPr>
          <w:rFonts w:cs="Times New Roman"/>
        </w:rPr>
        <w:t xml:space="preserve">The literature </w:t>
      </w:r>
      <w:r w:rsidRPr="00E26753">
        <w:rPr>
          <w:rFonts w:cs="Times New Roman"/>
        </w:rPr>
        <w:t xml:space="preserve">suggests </w:t>
      </w:r>
      <w:r>
        <w:rPr>
          <w:rFonts w:cs="Times New Roman"/>
        </w:rPr>
        <w:t>that language barriers, poor knowledge</w:t>
      </w:r>
      <w:r w:rsidR="00735989">
        <w:rPr>
          <w:rFonts w:cs="Times New Roman"/>
        </w:rPr>
        <w:t xml:space="preserve"> of healthcare systems</w:t>
      </w:r>
      <w:r>
        <w:rPr>
          <w:rFonts w:cs="Times New Roman"/>
        </w:rPr>
        <w:t xml:space="preserve">, </w:t>
      </w:r>
      <w:r w:rsidR="00735989">
        <w:rPr>
          <w:rFonts w:cs="Times New Roman"/>
        </w:rPr>
        <w:t xml:space="preserve">and </w:t>
      </w:r>
      <w:r>
        <w:rPr>
          <w:rFonts w:cs="Times New Roman"/>
        </w:rPr>
        <w:t xml:space="preserve">social </w:t>
      </w:r>
      <w:r w:rsidR="00735989">
        <w:rPr>
          <w:rFonts w:cs="Times New Roman"/>
        </w:rPr>
        <w:t xml:space="preserve">and </w:t>
      </w:r>
      <w:r>
        <w:rPr>
          <w:rFonts w:cs="Times New Roman"/>
        </w:rPr>
        <w:t>cultural beliefs about illness causation may also prevent early testing, a</w:t>
      </w:r>
      <w:r w:rsidR="00735989">
        <w:rPr>
          <w:rFonts w:cs="Times New Roman"/>
        </w:rPr>
        <w:t xml:space="preserve">nd there is some evidence that healthcare practitioners are generally </w:t>
      </w:r>
      <w:r>
        <w:rPr>
          <w:rFonts w:cs="Times New Roman"/>
        </w:rPr>
        <w:t>reluctan</w:t>
      </w:r>
      <w:r w:rsidR="00735989">
        <w:rPr>
          <w:rFonts w:cs="Times New Roman"/>
        </w:rPr>
        <w:t xml:space="preserve">t to </w:t>
      </w:r>
      <w:r>
        <w:rPr>
          <w:rFonts w:cs="Times New Roman"/>
        </w:rPr>
        <w:t xml:space="preserve">question patients about </w:t>
      </w:r>
      <w:r w:rsidR="00735989">
        <w:rPr>
          <w:rFonts w:cs="Times New Roman"/>
        </w:rPr>
        <w:t xml:space="preserve">their </w:t>
      </w:r>
      <w:r>
        <w:rPr>
          <w:rFonts w:cs="Times New Roman"/>
        </w:rPr>
        <w:t xml:space="preserve">sexual </w:t>
      </w:r>
      <w:r w:rsidR="00A540F0">
        <w:rPr>
          <w:rFonts w:cs="Times New Roman"/>
        </w:rPr>
        <w:t>activity</w:t>
      </w:r>
      <w:r w:rsidR="00735989">
        <w:rPr>
          <w:rFonts w:cs="Times New Roman"/>
        </w:rPr>
        <w:t xml:space="preserve">, particularly when social and cultural barriers </w:t>
      </w:r>
      <w:r w:rsidR="00A540F0">
        <w:rPr>
          <w:rFonts w:cs="Times New Roman"/>
        </w:rPr>
        <w:t xml:space="preserve">exist </w:t>
      </w:r>
      <w:r w:rsidR="00735989">
        <w:rPr>
          <w:rFonts w:cs="Times New Roman"/>
        </w:rPr>
        <w:t xml:space="preserve">between professionals and </w:t>
      </w:r>
      <w:r w:rsidR="00A540F0">
        <w:rPr>
          <w:rFonts w:cs="Times New Roman"/>
        </w:rPr>
        <w:t xml:space="preserve">their </w:t>
      </w:r>
      <w:r w:rsidR="00735989">
        <w:rPr>
          <w:rFonts w:cs="Times New Roman"/>
        </w:rPr>
        <w:t>patients</w:t>
      </w:r>
      <w:r>
        <w:rPr>
          <w:rFonts w:cs="Times New Roman"/>
        </w:rPr>
        <w:t xml:space="preserve"> </w:t>
      </w:r>
      <w:r w:rsidR="00741215">
        <w:rPr>
          <w:rFonts w:cs="Times New Roman"/>
        </w:rPr>
        <w:lastRenderedPageBreak/>
        <w:t>[1</w:t>
      </w:r>
      <w:r w:rsidR="00CC70C3">
        <w:rPr>
          <w:rFonts w:cs="Times New Roman"/>
        </w:rPr>
        <w:t>5</w:t>
      </w:r>
      <w:r w:rsidR="00741215">
        <w:rPr>
          <w:rFonts w:cs="Times New Roman"/>
        </w:rPr>
        <w:t>, 1</w:t>
      </w:r>
      <w:r w:rsidR="00CC70C3">
        <w:rPr>
          <w:rFonts w:cs="Times New Roman"/>
        </w:rPr>
        <w:t>6</w:t>
      </w:r>
      <w:r w:rsidR="00741215">
        <w:rPr>
          <w:rFonts w:cs="Times New Roman"/>
        </w:rPr>
        <w:t>, 1</w:t>
      </w:r>
      <w:r w:rsidR="00CC70C3">
        <w:rPr>
          <w:rFonts w:cs="Times New Roman"/>
        </w:rPr>
        <w:t>7</w:t>
      </w:r>
      <w:r w:rsidR="00741215">
        <w:rPr>
          <w:rFonts w:cs="Times New Roman"/>
        </w:rPr>
        <w:t>]</w:t>
      </w:r>
      <w:r>
        <w:rPr>
          <w:rFonts w:cs="Times New Roman"/>
        </w:rPr>
        <w:t>.</w:t>
      </w:r>
      <w:r w:rsidRPr="007B339B">
        <w:rPr>
          <w:rFonts w:cs="Times New Roman"/>
        </w:rPr>
        <w:t xml:space="preserve"> </w:t>
      </w:r>
      <w:r w:rsidR="00735989">
        <w:rPr>
          <w:rFonts w:cs="Times New Roman"/>
        </w:rPr>
        <w:t>Doubts about the p</w:t>
      </w:r>
      <w:r w:rsidRPr="00E26753">
        <w:rPr>
          <w:rFonts w:cs="Times New Roman"/>
        </w:rPr>
        <w:t xml:space="preserve">erceived efficacy of </w:t>
      </w:r>
      <w:r w:rsidR="00735989">
        <w:rPr>
          <w:rFonts w:cs="Times New Roman"/>
        </w:rPr>
        <w:t>medical treatment</w:t>
      </w:r>
      <w:r w:rsidRPr="00E26753">
        <w:rPr>
          <w:rFonts w:cs="Times New Roman"/>
        </w:rPr>
        <w:t xml:space="preserve"> </w:t>
      </w:r>
      <w:r w:rsidR="00735989">
        <w:rPr>
          <w:rFonts w:cs="Times New Roman"/>
        </w:rPr>
        <w:t xml:space="preserve">may be especially strong in those whose primary understanding of HIV comes from prior experience in resource poor countries </w:t>
      </w:r>
      <w:r w:rsidR="00741215">
        <w:rPr>
          <w:rFonts w:cs="Times New Roman"/>
        </w:rPr>
        <w:t>[1</w:t>
      </w:r>
      <w:r w:rsidR="00CC70C3">
        <w:rPr>
          <w:rFonts w:cs="Times New Roman"/>
        </w:rPr>
        <w:t>6</w:t>
      </w:r>
      <w:r w:rsidR="00741215">
        <w:rPr>
          <w:rFonts w:cs="Times New Roman"/>
        </w:rPr>
        <w:t>, 1</w:t>
      </w:r>
      <w:r w:rsidR="00CC70C3">
        <w:rPr>
          <w:rFonts w:cs="Times New Roman"/>
        </w:rPr>
        <w:t>7</w:t>
      </w:r>
      <w:r w:rsidR="00741215">
        <w:rPr>
          <w:rFonts w:cs="Times New Roman"/>
        </w:rPr>
        <w:t>,1</w:t>
      </w:r>
      <w:r w:rsidR="00CC70C3">
        <w:rPr>
          <w:rFonts w:cs="Times New Roman"/>
        </w:rPr>
        <w:t>8</w:t>
      </w:r>
      <w:r w:rsidR="00741215">
        <w:rPr>
          <w:rFonts w:cs="Times New Roman"/>
        </w:rPr>
        <w:t>]</w:t>
      </w:r>
      <w:r w:rsidRPr="00E26753">
        <w:rPr>
          <w:rFonts w:cs="Times New Roman"/>
        </w:rPr>
        <w:t>,</w:t>
      </w:r>
      <w:r w:rsidR="00735989">
        <w:rPr>
          <w:rFonts w:cs="Times New Roman"/>
        </w:rPr>
        <w:t xml:space="preserve"> or </w:t>
      </w:r>
      <w:r w:rsidRPr="00E26753">
        <w:rPr>
          <w:rFonts w:cs="Times New Roman"/>
        </w:rPr>
        <w:t>fear the consequences of a positive test, including associations of HIV with pain, death, discrimination, social isolation and diminished employment opportunities</w:t>
      </w:r>
      <w:r w:rsidR="00C269B5">
        <w:rPr>
          <w:rFonts w:cs="Times New Roman"/>
        </w:rPr>
        <w:t xml:space="preserve"> because of these experiences</w:t>
      </w:r>
      <w:r w:rsidR="00741215">
        <w:rPr>
          <w:rFonts w:cs="Times New Roman"/>
        </w:rPr>
        <w:t xml:space="preserve"> [1</w:t>
      </w:r>
      <w:r w:rsidR="00CC70C3">
        <w:rPr>
          <w:rFonts w:cs="Times New Roman"/>
        </w:rPr>
        <w:t>2</w:t>
      </w:r>
      <w:r w:rsidR="00741215">
        <w:rPr>
          <w:rFonts w:cs="Times New Roman"/>
        </w:rPr>
        <w:t>, 1</w:t>
      </w:r>
      <w:r w:rsidR="00CC70C3">
        <w:rPr>
          <w:rFonts w:cs="Times New Roman"/>
        </w:rPr>
        <w:t>4</w:t>
      </w:r>
      <w:r w:rsidR="00741215">
        <w:rPr>
          <w:rFonts w:cs="Times New Roman"/>
        </w:rPr>
        <w:t>, 1</w:t>
      </w:r>
      <w:r w:rsidR="00CC70C3">
        <w:rPr>
          <w:rFonts w:cs="Times New Roman"/>
        </w:rPr>
        <w:t>6</w:t>
      </w:r>
      <w:r w:rsidR="00741215">
        <w:rPr>
          <w:rFonts w:cs="Times New Roman"/>
        </w:rPr>
        <w:t>]</w:t>
      </w:r>
      <w:r w:rsidRPr="00E26753">
        <w:rPr>
          <w:rFonts w:cs="Times New Roman"/>
        </w:rPr>
        <w:t>.</w:t>
      </w:r>
      <w:r w:rsidR="00C56676">
        <w:rPr>
          <w:rFonts w:cs="Times New Roman"/>
        </w:rPr>
        <w:t xml:space="preserve"> There is also evidence in the literature that a positive diagnosis may be reported to </w:t>
      </w:r>
      <w:r w:rsidR="00C56676" w:rsidRPr="00E26753">
        <w:rPr>
          <w:rFonts w:cs="Times New Roman"/>
        </w:rPr>
        <w:t>immigration services, housing authorities</w:t>
      </w:r>
      <w:r w:rsidR="006A7542">
        <w:rPr>
          <w:rFonts w:cs="Times New Roman"/>
        </w:rPr>
        <w:t xml:space="preserve"> or </w:t>
      </w:r>
      <w:r w:rsidR="00C56676" w:rsidRPr="00E26753">
        <w:rPr>
          <w:rFonts w:cs="Times New Roman"/>
        </w:rPr>
        <w:t>employers</w:t>
      </w:r>
      <w:r w:rsidR="006A7542">
        <w:rPr>
          <w:rFonts w:cs="Times New Roman"/>
        </w:rPr>
        <w:t>. These factors m</w:t>
      </w:r>
      <w:r w:rsidR="00C56676">
        <w:rPr>
          <w:rFonts w:cs="Times New Roman"/>
        </w:rPr>
        <w:t xml:space="preserve">ay also </w:t>
      </w:r>
      <w:r w:rsidR="006A7542">
        <w:rPr>
          <w:rFonts w:cs="Times New Roman"/>
        </w:rPr>
        <w:t xml:space="preserve">present </w:t>
      </w:r>
      <w:r w:rsidR="00C56676">
        <w:rPr>
          <w:rFonts w:cs="Times New Roman"/>
        </w:rPr>
        <w:t>barrier</w:t>
      </w:r>
      <w:r w:rsidR="006A7542">
        <w:rPr>
          <w:rFonts w:cs="Times New Roman"/>
        </w:rPr>
        <w:t>s</w:t>
      </w:r>
      <w:r w:rsidR="00C56676">
        <w:rPr>
          <w:rFonts w:cs="Times New Roman"/>
        </w:rPr>
        <w:t xml:space="preserve"> to early testing in migrant populations and explain the results identified in relation to the French and British data sets reported upon here </w:t>
      </w:r>
      <w:r w:rsidR="00741215">
        <w:rPr>
          <w:rFonts w:cs="Times New Roman"/>
        </w:rPr>
        <w:t>[1</w:t>
      </w:r>
      <w:r w:rsidR="00CC70C3">
        <w:rPr>
          <w:rFonts w:cs="Times New Roman"/>
        </w:rPr>
        <w:t>7</w:t>
      </w:r>
      <w:r w:rsidR="00741215">
        <w:rPr>
          <w:rFonts w:cs="Times New Roman"/>
        </w:rPr>
        <w:t>]</w:t>
      </w:r>
      <w:r w:rsidR="00C56676">
        <w:rPr>
          <w:rFonts w:cs="Times New Roman"/>
        </w:rPr>
        <w:t>.</w:t>
      </w:r>
    </w:p>
    <w:p w:rsidR="00C269B5" w:rsidRDefault="00C269B5" w:rsidP="006F3809">
      <w:pPr>
        <w:spacing w:after="0" w:line="480" w:lineRule="auto"/>
        <w:ind w:firstLine="720"/>
        <w:rPr>
          <w:rFonts w:cs="Times New Roman"/>
        </w:rPr>
      </w:pPr>
      <w:r>
        <w:rPr>
          <w:rFonts w:cs="Times New Roman"/>
        </w:rPr>
        <w:t xml:space="preserve">However, even in non-migrant groups, </w:t>
      </w:r>
      <w:r w:rsidR="00766474">
        <w:rPr>
          <w:rFonts w:cs="Times New Roman"/>
        </w:rPr>
        <w:t xml:space="preserve">cognitive dissonance </w:t>
      </w:r>
      <w:r>
        <w:rPr>
          <w:rFonts w:cs="Times New Roman"/>
        </w:rPr>
        <w:t xml:space="preserve">may still determine some individual’s reluctance to seek </w:t>
      </w:r>
      <w:r w:rsidRPr="00E26753">
        <w:rPr>
          <w:rFonts w:cs="Times New Roman"/>
        </w:rPr>
        <w:t>early testing</w:t>
      </w:r>
      <w:r>
        <w:rPr>
          <w:rFonts w:cs="Times New Roman"/>
        </w:rPr>
        <w:t xml:space="preserve"> irrespective of their ability to access information, support and counselling about HIV testing or their own appraisal of risk </w:t>
      </w:r>
      <w:r w:rsidR="00741215">
        <w:rPr>
          <w:rFonts w:cs="Times New Roman"/>
        </w:rPr>
        <w:t>[1</w:t>
      </w:r>
      <w:r w:rsidR="00CC70C3">
        <w:rPr>
          <w:rFonts w:cs="Times New Roman"/>
        </w:rPr>
        <w:t>2</w:t>
      </w:r>
      <w:r w:rsidR="00741215">
        <w:rPr>
          <w:rFonts w:cs="Times New Roman"/>
        </w:rPr>
        <w:t>, 1</w:t>
      </w:r>
      <w:r w:rsidR="00CC70C3">
        <w:rPr>
          <w:rFonts w:cs="Times New Roman"/>
        </w:rPr>
        <w:t>3</w:t>
      </w:r>
      <w:r w:rsidR="00741215">
        <w:rPr>
          <w:rFonts w:cs="Times New Roman"/>
        </w:rPr>
        <w:t>, 1</w:t>
      </w:r>
      <w:r w:rsidR="00CC70C3">
        <w:rPr>
          <w:rFonts w:cs="Times New Roman"/>
        </w:rPr>
        <w:t>5</w:t>
      </w:r>
      <w:r w:rsidR="00741215">
        <w:rPr>
          <w:rFonts w:cs="Times New Roman"/>
        </w:rPr>
        <w:t>, 1</w:t>
      </w:r>
      <w:r w:rsidR="00CC70C3">
        <w:rPr>
          <w:rFonts w:cs="Times New Roman"/>
        </w:rPr>
        <w:t>7</w:t>
      </w:r>
      <w:r w:rsidR="00741215">
        <w:rPr>
          <w:rFonts w:cs="Times New Roman"/>
        </w:rPr>
        <w:t>]</w:t>
      </w:r>
      <w:r w:rsidR="00766474" w:rsidRPr="00E26753">
        <w:rPr>
          <w:rFonts w:cs="Times New Roman"/>
        </w:rPr>
        <w:t xml:space="preserve">.  </w:t>
      </w:r>
      <w:r w:rsidR="00766474">
        <w:rPr>
          <w:rFonts w:cs="Times New Roman"/>
        </w:rPr>
        <w:t>The d</w:t>
      </w:r>
      <w:r w:rsidR="00766474" w:rsidRPr="00E26753">
        <w:rPr>
          <w:rFonts w:cs="Times New Roman"/>
        </w:rPr>
        <w:t>ecision</w:t>
      </w:r>
      <w:r w:rsidR="00766474">
        <w:rPr>
          <w:rFonts w:cs="Times New Roman"/>
        </w:rPr>
        <w:t xml:space="preserve"> to take an HIV test is harder in </w:t>
      </w:r>
      <w:r w:rsidR="00766474" w:rsidRPr="00E26753">
        <w:rPr>
          <w:rFonts w:cs="Times New Roman"/>
        </w:rPr>
        <w:t>social contexts characterised by fear and stigma</w:t>
      </w:r>
      <w:r w:rsidR="00A540F0">
        <w:rPr>
          <w:rFonts w:cs="Times New Roman"/>
        </w:rPr>
        <w:t xml:space="preserve">; </w:t>
      </w:r>
      <w:r w:rsidR="00766474">
        <w:rPr>
          <w:rFonts w:cs="Times New Roman"/>
        </w:rPr>
        <w:t xml:space="preserve">or </w:t>
      </w:r>
      <w:r>
        <w:rPr>
          <w:rFonts w:cs="Times New Roman"/>
        </w:rPr>
        <w:t xml:space="preserve">where </w:t>
      </w:r>
      <w:r w:rsidR="00766474" w:rsidRPr="00E26753">
        <w:rPr>
          <w:rFonts w:cs="Times New Roman"/>
        </w:rPr>
        <w:t xml:space="preserve">prevailing attitudes </w:t>
      </w:r>
      <w:r w:rsidR="00766474">
        <w:rPr>
          <w:rFonts w:cs="Times New Roman"/>
        </w:rPr>
        <w:t xml:space="preserve">associate HIV with deviancy or immorality </w:t>
      </w:r>
      <w:r w:rsidR="00741215">
        <w:rPr>
          <w:rFonts w:cs="Times New Roman"/>
        </w:rPr>
        <w:t>[1</w:t>
      </w:r>
      <w:r w:rsidR="00CC70C3">
        <w:rPr>
          <w:rFonts w:cs="Times New Roman"/>
        </w:rPr>
        <w:t>2</w:t>
      </w:r>
      <w:r w:rsidR="006F3809">
        <w:rPr>
          <w:rFonts w:cs="Times New Roman"/>
        </w:rPr>
        <w:t>-</w:t>
      </w:r>
      <w:r w:rsidR="00CC70C3">
        <w:rPr>
          <w:rFonts w:cs="Times New Roman"/>
        </w:rPr>
        <w:t>19</w:t>
      </w:r>
      <w:r w:rsidR="000169C6">
        <w:rPr>
          <w:rFonts w:cs="Times New Roman"/>
        </w:rPr>
        <w:t>]</w:t>
      </w:r>
      <w:r w:rsidR="00C56676">
        <w:rPr>
          <w:rFonts w:cs="Times New Roman"/>
        </w:rPr>
        <w:t xml:space="preserve">. It </w:t>
      </w:r>
      <w:r>
        <w:rPr>
          <w:rFonts w:cs="Times New Roman"/>
        </w:rPr>
        <w:t>is no</w:t>
      </w:r>
      <w:r w:rsidR="00C56676">
        <w:rPr>
          <w:rFonts w:cs="Times New Roman"/>
        </w:rPr>
        <w:t>t</w:t>
      </w:r>
      <w:r>
        <w:rPr>
          <w:rFonts w:cs="Times New Roman"/>
        </w:rPr>
        <w:t xml:space="preserve"> </w:t>
      </w:r>
      <w:r w:rsidR="00C56676">
        <w:rPr>
          <w:rFonts w:cs="Times New Roman"/>
        </w:rPr>
        <w:t xml:space="preserve">entirely </w:t>
      </w:r>
      <w:r>
        <w:rPr>
          <w:rFonts w:cs="Times New Roman"/>
        </w:rPr>
        <w:t>surpris</w:t>
      </w:r>
      <w:r w:rsidR="00C56676">
        <w:rPr>
          <w:rFonts w:cs="Times New Roman"/>
        </w:rPr>
        <w:t xml:space="preserve">ing therefore, that </w:t>
      </w:r>
      <w:r>
        <w:rPr>
          <w:rFonts w:cs="Times New Roman"/>
        </w:rPr>
        <w:t xml:space="preserve">MSMs were likely to undergo </w:t>
      </w:r>
      <w:r w:rsidR="00C56676">
        <w:rPr>
          <w:rFonts w:cs="Times New Roman"/>
        </w:rPr>
        <w:t xml:space="preserve">more </w:t>
      </w:r>
      <w:r>
        <w:rPr>
          <w:rFonts w:cs="Times New Roman"/>
        </w:rPr>
        <w:t xml:space="preserve">frequent testing and </w:t>
      </w:r>
      <w:r w:rsidR="00C56676">
        <w:rPr>
          <w:rFonts w:cs="Times New Roman"/>
        </w:rPr>
        <w:t xml:space="preserve">consequently </w:t>
      </w:r>
      <w:r w:rsidR="00A540F0">
        <w:rPr>
          <w:rFonts w:cs="Times New Roman"/>
        </w:rPr>
        <w:t>receive their diagnose</w:t>
      </w:r>
      <w:r>
        <w:rPr>
          <w:rFonts w:cs="Times New Roman"/>
        </w:rPr>
        <w:t xml:space="preserve">s earlier than those considering themselves to be at less risk or fearful of others’ censure </w:t>
      </w:r>
      <w:r w:rsidR="00C56676">
        <w:rPr>
          <w:rFonts w:cs="Times New Roman"/>
        </w:rPr>
        <w:t xml:space="preserve">should they be diagnosed with the virus. </w:t>
      </w:r>
      <w:r>
        <w:rPr>
          <w:rFonts w:cs="Times New Roman"/>
        </w:rPr>
        <w:t xml:space="preserve">  </w:t>
      </w:r>
    </w:p>
    <w:p w:rsidR="006F3809" w:rsidRDefault="00A540F0" w:rsidP="006F3809">
      <w:pPr>
        <w:spacing w:after="0" w:line="480" w:lineRule="auto"/>
        <w:ind w:firstLine="720"/>
        <w:rPr>
          <w:rFonts w:cs="Times New Roman"/>
        </w:rPr>
      </w:pPr>
      <w:r>
        <w:rPr>
          <w:rFonts w:cs="Times New Roman"/>
        </w:rPr>
        <w:t xml:space="preserve">The five-year retrospective analysis of clinical and demographic data showed that there </w:t>
      </w:r>
      <w:r w:rsidR="00E77B96">
        <w:rPr>
          <w:rFonts w:cs="Times New Roman"/>
        </w:rPr>
        <w:t xml:space="preserve">are </w:t>
      </w:r>
      <w:r>
        <w:rPr>
          <w:rFonts w:cs="Times New Roman"/>
        </w:rPr>
        <w:t>marked similarities in the profile of those likely to present late for testing and consequently receive a late HIV diagnosis</w:t>
      </w:r>
      <w:r w:rsidR="003D0EFE">
        <w:rPr>
          <w:rFonts w:cs="Times New Roman"/>
        </w:rPr>
        <w:t xml:space="preserve"> in both countries</w:t>
      </w:r>
      <w:r w:rsidR="000169C6">
        <w:rPr>
          <w:rFonts w:cs="Times New Roman"/>
        </w:rPr>
        <w:t xml:space="preserve"> [1</w:t>
      </w:r>
      <w:r w:rsidR="00CC70C3">
        <w:rPr>
          <w:rFonts w:cs="Times New Roman"/>
        </w:rPr>
        <w:t>9</w:t>
      </w:r>
      <w:r w:rsidR="000169C6">
        <w:rPr>
          <w:rFonts w:cs="Times New Roman"/>
        </w:rPr>
        <w:t>]</w:t>
      </w:r>
      <w:r>
        <w:rPr>
          <w:rFonts w:cs="Times New Roman"/>
        </w:rPr>
        <w:t xml:space="preserve">. For the most </w:t>
      </w:r>
      <w:r w:rsidR="003D0EFE">
        <w:rPr>
          <w:rFonts w:cs="Times New Roman"/>
        </w:rPr>
        <w:t xml:space="preserve">part these were migrants and </w:t>
      </w:r>
      <w:r>
        <w:rPr>
          <w:rFonts w:cs="Times New Roman"/>
        </w:rPr>
        <w:t>heterosexuals</w:t>
      </w:r>
      <w:r w:rsidR="00486A2E">
        <w:rPr>
          <w:rFonts w:cs="Times New Roman"/>
        </w:rPr>
        <w:t>.</w:t>
      </w:r>
      <w:r w:rsidR="003D0EFE">
        <w:rPr>
          <w:rFonts w:cs="Times New Roman"/>
        </w:rPr>
        <w:t xml:space="preserve"> MSMs were likely to test more frequently and </w:t>
      </w:r>
      <w:r w:rsidR="000169C6">
        <w:rPr>
          <w:rFonts w:cs="Times New Roman"/>
        </w:rPr>
        <w:t xml:space="preserve">receive their </w:t>
      </w:r>
      <w:r w:rsidR="003D0EFE">
        <w:rPr>
          <w:rFonts w:cs="Times New Roman"/>
        </w:rPr>
        <w:t>diagnos</w:t>
      </w:r>
      <w:r w:rsidR="000169C6">
        <w:rPr>
          <w:rFonts w:cs="Times New Roman"/>
        </w:rPr>
        <w:t>is</w:t>
      </w:r>
      <w:r w:rsidR="003D0EFE">
        <w:rPr>
          <w:rFonts w:cs="Times New Roman"/>
        </w:rPr>
        <w:t xml:space="preserve"> earlier than their counterparts</w:t>
      </w:r>
      <w:r w:rsidR="00E77B96">
        <w:rPr>
          <w:rFonts w:cs="Times New Roman"/>
        </w:rPr>
        <w:t xml:space="preserve"> in both countries; </w:t>
      </w:r>
      <w:r w:rsidR="003D0EFE">
        <w:rPr>
          <w:rFonts w:cs="Times New Roman"/>
        </w:rPr>
        <w:t xml:space="preserve">though this finding is hardly surprising given the emphasis on HIV testing within the </w:t>
      </w:r>
      <w:r w:rsidR="006A7542">
        <w:rPr>
          <w:rFonts w:cs="Times New Roman"/>
        </w:rPr>
        <w:t xml:space="preserve">gay, bisexual and MSM </w:t>
      </w:r>
      <w:r w:rsidR="003D0EFE">
        <w:rPr>
          <w:rFonts w:cs="Times New Roman"/>
        </w:rPr>
        <w:t>community</w:t>
      </w:r>
      <w:r w:rsidR="006A7542">
        <w:rPr>
          <w:rFonts w:cs="Times New Roman"/>
        </w:rPr>
        <w:t>,</w:t>
      </w:r>
      <w:r w:rsidR="003D0EFE">
        <w:rPr>
          <w:rFonts w:cs="Times New Roman"/>
        </w:rPr>
        <w:t xml:space="preserve"> and its frequent mention in the gay media.  MSMs were </w:t>
      </w:r>
      <w:r w:rsidR="00E77B96">
        <w:rPr>
          <w:rFonts w:cs="Times New Roman"/>
        </w:rPr>
        <w:t xml:space="preserve">also </w:t>
      </w:r>
      <w:r w:rsidR="003D0EFE">
        <w:rPr>
          <w:rFonts w:cs="Times New Roman"/>
        </w:rPr>
        <w:t xml:space="preserve">more knowledgeable about HIV risk and more adept at seeking out testing services than other groups in both countries, though the rates were </w:t>
      </w:r>
      <w:r w:rsidR="00486A2E">
        <w:rPr>
          <w:rFonts w:cs="Times New Roman"/>
        </w:rPr>
        <w:t xml:space="preserve">generally </w:t>
      </w:r>
      <w:r w:rsidR="003D0EFE">
        <w:rPr>
          <w:rFonts w:cs="Times New Roman"/>
        </w:rPr>
        <w:t xml:space="preserve">better in France than the UK for all groups. </w:t>
      </w:r>
    </w:p>
    <w:p w:rsidR="00486A2E" w:rsidRPr="00B03713" w:rsidRDefault="003D0EFE" w:rsidP="006F3809">
      <w:pPr>
        <w:spacing w:line="480" w:lineRule="auto"/>
        <w:ind w:firstLine="720"/>
        <w:rPr>
          <w:rFonts w:eastAsia="FreeSerif" w:cs="Times New Roman"/>
        </w:rPr>
      </w:pPr>
      <w:r>
        <w:rPr>
          <w:rFonts w:cs="Times New Roman"/>
        </w:rPr>
        <w:lastRenderedPageBreak/>
        <w:t xml:space="preserve">This may be due to </w:t>
      </w:r>
      <w:r w:rsidR="00E77B96">
        <w:rPr>
          <w:rFonts w:cs="Times New Roman"/>
        </w:rPr>
        <w:t xml:space="preserve">population screening measures introduced </w:t>
      </w:r>
      <w:r w:rsidR="00405C4F">
        <w:rPr>
          <w:rFonts w:cs="Times New Roman"/>
        </w:rPr>
        <w:t>because</w:t>
      </w:r>
      <w:r w:rsidR="00E77B96">
        <w:rPr>
          <w:rFonts w:cs="Times New Roman"/>
        </w:rPr>
        <w:t xml:space="preserve"> of a nationwide campaign to improve HIV testing rates in </w:t>
      </w:r>
      <w:r w:rsidR="00405C4F">
        <w:rPr>
          <w:rFonts w:cs="Times New Roman"/>
        </w:rPr>
        <w:t>France that</w:t>
      </w:r>
      <w:r w:rsidR="00486A2E">
        <w:rPr>
          <w:rFonts w:cs="Times New Roman"/>
        </w:rPr>
        <w:t xml:space="preserve"> started in 2011 and </w:t>
      </w:r>
      <w:r w:rsidR="00E77B96">
        <w:rPr>
          <w:rFonts w:cs="Times New Roman"/>
        </w:rPr>
        <w:t>led to some 5.0-5.2 million HIV</w:t>
      </w:r>
      <w:r w:rsidR="00486A2E">
        <w:rPr>
          <w:rFonts w:cs="Times New Roman"/>
        </w:rPr>
        <w:t xml:space="preserve"> serology tests being performed </w:t>
      </w:r>
      <w:r w:rsidR="00161EF3">
        <w:rPr>
          <w:rFonts w:cs="Times New Roman"/>
        </w:rPr>
        <w:t>in th</w:t>
      </w:r>
      <w:r w:rsidR="006A7542">
        <w:rPr>
          <w:rFonts w:cs="Times New Roman"/>
        </w:rPr>
        <w:t>e four years before the study period</w:t>
      </w:r>
      <w:r w:rsidR="00161EF3">
        <w:rPr>
          <w:rFonts w:cs="Times New Roman"/>
        </w:rPr>
        <w:t xml:space="preserve">. </w:t>
      </w:r>
      <w:r w:rsidR="00486A2E">
        <w:rPr>
          <w:rFonts w:cs="Times New Roman"/>
        </w:rPr>
        <w:t xml:space="preserve">This campaign also had an </w:t>
      </w:r>
      <w:r w:rsidR="00E77B96">
        <w:rPr>
          <w:rFonts w:cs="Times New Roman"/>
        </w:rPr>
        <w:t>emphasis on making GPs key players in the fight against HIV in France</w:t>
      </w:r>
      <w:r w:rsidR="00486A2E">
        <w:rPr>
          <w:rFonts w:cs="Times New Roman"/>
        </w:rPr>
        <w:t xml:space="preserve">, although </w:t>
      </w:r>
      <w:r w:rsidR="00B03713">
        <w:rPr>
          <w:rFonts w:cs="Times New Roman"/>
        </w:rPr>
        <w:t xml:space="preserve">GPs in </w:t>
      </w:r>
      <w:r w:rsidR="00486A2E">
        <w:rPr>
          <w:rFonts w:cs="Times New Roman"/>
        </w:rPr>
        <w:t xml:space="preserve">Amiens and Creil </w:t>
      </w:r>
      <w:r w:rsidR="00B03713">
        <w:rPr>
          <w:rFonts w:cs="Times New Roman"/>
        </w:rPr>
        <w:t>undertake fewer than the n</w:t>
      </w:r>
      <w:r w:rsidR="00486A2E">
        <w:rPr>
          <w:rFonts w:cs="Times New Roman"/>
        </w:rPr>
        <w:t>ational average number of HIV tests</w:t>
      </w:r>
      <w:r w:rsidR="00B03713">
        <w:rPr>
          <w:rFonts w:cs="Times New Roman"/>
        </w:rPr>
        <w:t xml:space="preserve"> (or refer pati</w:t>
      </w:r>
      <w:r w:rsidR="00161EF3">
        <w:rPr>
          <w:rFonts w:cs="Times New Roman"/>
        </w:rPr>
        <w:t>ents elsewhere for testing), on</w:t>
      </w:r>
      <w:r w:rsidR="00B03713">
        <w:rPr>
          <w:rFonts w:cs="Times New Roman"/>
        </w:rPr>
        <w:t xml:space="preserve">e of the reasons the region was included in the study. Historically, </w:t>
      </w:r>
      <w:r w:rsidR="00486A2E">
        <w:rPr>
          <w:rFonts w:cs="Times New Roman"/>
        </w:rPr>
        <w:t xml:space="preserve">more than a third of late diagnoses </w:t>
      </w:r>
      <w:r w:rsidR="00B03713">
        <w:rPr>
          <w:rFonts w:cs="Times New Roman"/>
        </w:rPr>
        <w:t xml:space="preserve">in the region had </w:t>
      </w:r>
      <w:r w:rsidR="00486A2E">
        <w:rPr>
          <w:rFonts w:cs="Times New Roman"/>
        </w:rPr>
        <w:t>a</w:t>
      </w:r>
      <w:r w:rsidR="00B03713">
        <w:rPr>
          <w:rFonts w:cs="Times New Roman"/>
        </w:rPr>
        <w:t xml:space="preserve">n AIDS defining </w:t>
      </w:r>
      <w:r w:rsidR="00486A2E">
        <w:rPr>
          <w:rFonts w:cs="Times New Roman"/>
        </w:rPr>
        <w:t>CD4 count of less than 200/</w:t>
      </w:r>
      <w:r w:rsidR="00486A2E" w:rsidRPr="00E26753">
        <w:rPr>
          <w:rFonts w:eastAsia="FreeSerif" w:cs="Times New Roman"/>
        </w:rPr>
        <w:t>mm³</w:t>
      </w:r>
      <w:r w:rsidR="00B03713">
        <w:rPr>
          <w:rFonts w:eastAsia="FreeSerif" w:cs="Times New Roman"/>
        </w:rPr>
        <w:t xml:space="preserve"> although this had improved by the time of our study</w:t>
      </w:r>
      <w:r w:rsidR="00486A2E">
        <w:rPr>
          <w:rFonts w:eastAsia="FreeSerif" w:cs="Times New Roman"/>
        </w:rPr>
        <w:t xml:space="preserve"> </w:t>
      </w:r>
      <w:r w:rsidR="000169C6">
        <w:rPr>
          <w:rFonts w:eastAsia="FreeSerif" w:cs="Times New Roman"/>
        </w:rPr>
        <w:t>[6]</w:t>
      </w:r>
      <w:r w:rsidR="00B03713">
        <w:rPr>
          <w:rFonts w:cs="Times New Roman"/>
        </w:rPr>
        <w:t xml:space="preserve">. </w:t>
      </w:r>
      <w:r w:rsidR="00E77B96">
        <w:rPr>
          <w:rFonts w:cs="Times New Roman"/>
        </w:rPr>
        <w:t>In contrast, GUM or sexual health clinics are considered the frontline against HIV in the UK</w:t>
      </w:r>
      <w:r w:rsidR="00CC70C3">
        <w:rPr>
          <w:rFonts w:cs="Times New Roman"/>
        </w:rPr>
        <w:t xml:space="preserve"> [20</w:t>
      </w:r>
      <w:r w:rsidR="000169C6">
        <w:rPr>
          <w:rFonts w:cs="Times New Roman"/>
        </w:rPr>
        <w:t>]</w:t>
      </w:r>
      <w:r w:rsidR="00E77B96">
        <w:rPr>
          <w:rFonts w:cs="Times New Roman"/>
        </w:rPr>
        <w:t>, and this is borne out in the proportion of patients diagnosed in these rather than general practic</w:t>
      </w:r>
      <w:r w:rsidR="00E03472">
        <w:rPr>
          <w:rFonts w:cs="Times New Roman"/>
        </w:rPr>
        <w:t>e settings</w:t>
      </w:r>
      <w:r w:rsidR="00E77B96">
        <w:rPr>
          <w:rFonts w:cs="Times New Roman"/>
        </w:rPr>
        <w:t>. The number of people diagnosed in acute hospital settings</w:t>
      </w:r>
      <w:r w:rsidR="00D531D0">
        <w:rPr>
          <w:rFonts w:cs="Times New Roman"/>
        </w:rPr>
        <w:t xml:space="preserve"> was also higher in the UK. These </w:t>
      </w:r>
      <w:r w:rsidR="00E03472">
        <w:rPr>
          <w:rFonts w:cs="Times New Roman"/>
        </w:rPr>
        <w:t>often had HIV/AIDS defining symptoms previously missed by general practitioners</w:t>
      </w:r>
      <w:r w:rsidR="00B03713">
        <w:rPr>
          <w:rFonts w:cs="Times New Roman"/>
        </w:rPr>
        <w:t xml:space="preserve"> although harder to enumerate </w:t>
      </w:r>
      <w:r w:rsidR="00D531D0">
        <w:rPr>
          <w:rFonts w:cs="Times New Roman"/>
        </w:rPr>
        <w:t xml:space="preserve">from UK paper-based systems </w:t>
      </w:r>
      <w:r w:rsidR="00B03713">
        <w:rPr>
          <w:rFonts w:cs="Times New Roman"/>
        </w:rPr>
        <w:t xml:space="preserve">than the French </w:t>
      </w:r>
      <w:r w:rsidR="00D531D0">
        <w:rPr>
          <w:rFonts w:cs="Times New Roman"/>
        </w:rPr>
        <w:t xml:space="preserve">national database. </w:t>
      </w:r>
      <w:r w:rsidR="00E03472">
        <w:rPr>
          <w:rFonts w:cs="Times New Roman"/>
        </w:rPr>
        <w:t xml:space="preserve"> </w:t>
      </w:r>
      <w:r w:rsidR="00E77B96">
        <w:rPr>
          <w:rFonts w:cs="Times New Roman"/>
        </w:rPr>
        <w:t xml:space="preserve"> </w:t>
      </w:r>
    </w:p>
    <w:p w:rsidR="00486A2E" w:rsidRDefault="00486A2E" w:rsidP="00486A2E">
      <w:pPr>
        <w:spacing w:after="0" w:line="480" w:lineRule="auto"/>
        <w:rPr>
          <w:rFonts w:cs="Times New Roman"/>
          <w:b/>
        </w:rPr>
      </w:pPr>
      <w:r w:rsidRPr="00E26753">
        <w:rPr>
          <w:rFonts w:cs="Times New Roman"/>
          <w:b/>
        </w:rPr>
        <w:t>Conclusions and limitations</w:t>
      </w:r>
    </w:p>
    <w:p w:rsidR="006F3809" w:rsidRDefault="00B03713" w:rsidP="00CE0845">
      <w:pPr>
        <w:spacing w:after="0" w:line="480" w:lineRule="auto"/>
        <w:rPr>
          <w:rFonts w:cs="Times New Roman"/>
        </w:rPr>
      </w:pPr>
      <w:r>
        <w:rPr>
          <w:rFonts w:cs="Times New Roman"/>
        </w:rPr>
        <w:t xml:space="preserve">The study </w:t>
      </w:r>
      <w:r w:rsidR="006A7542">
        <w:rPr>
          <w:rFonts w:cs="Times New Roman"/>
        </w:rPr>
        <w:t xml:space="preserve">confirmed that late diagnosis </w:t>
      </w:r>
      <w:r w:rsidR="00852A45">
        <w:rPr>
          <w:rFonts w:cs="Times New Roman"/>
        </w:rPr>
        <w:t xml:space="preserve">of HIV infection continued to be a problem in both Kent and Medway in the UK and Creil and Amiens in France, although French HIV services were making better progress in relation to improving the uptake of early HIV testing than their UK counterparts. In both cases, healthcare services were making less progress increasing the number of tests and reducing the number of late diagnoses than the national average in spite, in France at least, of a high </w:t>
      </w:r>
      <w:r w:rsidR="00173ADF">
        <w:rPr>
          <w:rFonts w:cs="Times New Roman"/>
        </w:rPr>
        <w:t>profile,</w:t>
      </w:r>
      <w:r w:rsidR="00852A45">
        <w:rPr>
          <w:rFonts w:cs="Times New Roman"/>
        </w:rPr>
        <w:t xml:space="preserve"> population based screening campaign. It is </w:t>
      </w:r>
      <w:r w:rsidR="00173ADF">
        <w:rPr>
          <w:rFonts w:cs="Times New Roman"/>
        </w:rPr>
        <w:t xml:space="preserve">also </w:t>
      </w:r>
      <w:r w:rsidR="00852A45">
        <w:rPr>
          <w:rFonts w:cs="Times New Roman"/>
        </w:rPr>
        <w:t xml:space="preserve">clear that HIV is no respecter of age in either country, with a statistically significant difference in the number of late diagnoses in older people in both </w:t>
      </w:r>
      <w:r w:rsidR="00173ADF">
        <w:rPr>
          <w:rFonts w:cs="Times New Roman"/>
        </w:rPr>
        <w:t xml:space="preserve">countries. </w:t>
      </w:r>
    </w:p>
    <w:p w:rsidR="006F3809" w:rsidRDefault="00852A45" w:rsidP="006F3809">
      <w:pPr>
        <w:spacing w:after="0" w:line="480" w:lineRule="auto"/>
        <w:ind w:firstLine="720"/>
        <w:rPr>
          <w:rFonts w:cs="Times New Roman"/>
        </w:rPr>
      </w:pPr>
      <w:r>
        <w:rPr>
          <w:rFonts w:cs="Times New Roman"/>
        </w:rPr>
        <w:t xml:space="preserve">Women </w:t>
      </w:r>
      <w:r w:rsidR="00173ADF">
        <w:rPr>
          <w:rFonts w:cs="Times New Roman"/>
        </w:rPr>
        <w:t xml:space="preserve">were </w:t>
      </w:r>
      <w:r>
        <w:rPr>
          <w:rFonts w:cs="Times New Roman"/>
        </w:rPr>
        <w:t>diagnosed late</w:t>
      </w:r>
      <w:r w:rsidR="00D531D0">
        <w:rPr>
          <w:rFonts w:cs="Times New Roman"/>
        </w:rPr>
        <w:t>r</w:t>
      </w:r>
      <w:r>
        <w:rPr>
          <w:rFonts w:cs="Times New Roman"/>
        </w:rPr>
        <w:t xml:space="preserve"> than men in both countries, a</w:t>
      </w:r>
      <w:r w:rsidR="00D531D0">
        <w:rPr>
          <w:rFonts w:cs="Times New Roman"/>
        </w:rPr>
        <w:t xml:space="preserve">t </w:t>
      </w:r>
      <w:r>
        <w:rPr>
          <w:rFonts w:cs="Times New Roman"/>
        </w:rPr>
        <w:t xml:space="preserve">odds with </w:t>
      </w:r>
      <w:r w:rsidR="00D531D0">
        <w:rPr>
          <w:rFonts w:cs="Times New Roman"/>
        </w:rPr>
        <w:t>the prevailing wisdom that women are m</w:t>
      </w:r>
      <w:r>
        <w:rPr>
          <w:rFonts w:cs="Times New Roman"/>
        </w:rPr>
        <w:t xml:space="preserve">ore adept at accessing healthcare </w:t>
      </w:r>
      <w:r w:rsidR="00D531D0">
        <w:rPr>
          <w:rFonts w:cs="Times New Roman"/>
        </w:rPr>
        <w:t xml:space="preserve">services than men </w:t>
      </w:r>
      <w:r w:rsidR="00173ADF">
        <w:rPr>
          <w:rFonts w:cs="Times New Roman"/>
        </w:rPr>
        <w:t>and</w:t>
      </w:r>
      <w:r w:rsidR="00D531D0">
        <w:rPr>
          <w:rFonts w:cs="Times New Roman"/>
        </w:rPr>
        <w:t xml:space="preserve"> routine </w:t>
      </w:r>
      <w:r>
        <w:rPr>
          <w:rFonts w:cs="Times New Roman"/>
        </w:rPr>
        <w:t xml:space="preserve">screening </w:t>
      </w:r>
      <w:r w:rsidR="00173ADF">
        <w:rPr>
          <w:rFonts w:cs="Times New Roman"/>
        </w:rPr>
        <w:t xml:space="preserve">for </w:t>
      </w:r>
      <w:r>
        <w:rPr>
          <w:rFonts w:cs="Times New Roman"/>
        </w:rPr>
        <w:t>HIV in pregnancy. Older women were particu</w:t>
      </w:r>
      <w:r w:rsidR="00173ADF">
        <w:rPr>
          <w:rFonts w:cs="Times New Roman"/>
        </w:rPr>
        <w:t>larly at risk of late diagnosis</w:t>
      </w:r>
      <w:r>
        <w:rPr>
          <w:rFonts w:cs="Times New Roman"/>
        </w:rPr>
        <w:t xml:space="preserve"> partly</w:t>
      </w:r>
      <w:r w:rsidR="00173ADF">
        <w:rPr>
          <w:rFonts w:cs="Times New Roman"/>
        </w:rPr>
        <w:t xml:space="preserve">, it would seem, </w:t>
      </w:r>
      <w:r>
        <w:rPr>
          <w:rFonts w:cs="Times New Roman"/>
        </w:rPr>
        <w:t xml:space="preserve">because </w:t>
      </w:r>
      <w:r w:rsidR="00173ADF">
        <w:rPr>
          <w:rFonts w:cs="Times New Roman"/>
        </w:rPr>
        <w:t xml:space="preserve">symptoms indicative of an HIV infection were attributed to other causes </w:t>
      </w:r>
      <w:r w:rsidR="00173ADF">
        <w:rPr>
          <w:rFonts w:cs="Times New Roman"/>
        </w:rPr>
        <w:lastRenderedPageBreak/>
        <w:t xml:space="preserve">outside of their sexual career or relationships on account of their age and </w:t>
      </w:r>
      <w:r w:rsidR="006A7542">
        <w:rPr>
          <w:rFonts w:cs="Times New Roman"/>
        </w:rPr>
        <w:t xml:space="preserve">assumptions about their </w:t>
      </w:r>
      <w:r w:rsidR="00173ADF">
        <w:rPr>
          <w:rFonts w:cs="Times New Roman"/>
        </w:rPr>
        <w:t xml:space="preserve">being </w:t>
      </w:r>
      <w:r w:rsidR="006A7542">
        <w:rPr>
          <w:rFonts w:cs="Times New Roman"/>
        </w:rPr>
        <w:t>married or in a long-term relationship</w:t>
      </w:r>
      <w:r w:rsidR="00173ADF">
        <w:rPr>
          <w:rFonts w:cs="Times New Roman"/>
        </w:rPr>
        <w:t>. M</w:t>
      </w:r>
      <w:r w:rsidR="00B03713">
        <w:rPr>
          <w:rFonts w:cs="Times New Roman"/>
        </w:rPr>
        <w:t>igrants and those from BAME communities</w:t>
      </w:r>
      <w:r w:rsidR="00173ADF">
        <w:rPr>
          <w:rFonts w:cs="Times New Roman"/>
        </w:rPr>
        <w:t xml:space="preserve"> were also le</w:t>
      </w:r>
      <w:r w:rsidR="00B03713">
        <w:rPr>
          <w:rFonts w:cs="Times New Roman"/>
        </w:rPr>
        <w:t xml:space="preserve">ss likely to </w:t>
      </w:r>
      <w:r w:rsidR="00394F78">
        <w:rPr>
          <w:rFonts w:cs="Times New Roman"/>
        </w:rPr>
        <w:t xml:space="preserve">encounter </w:t>
      </w:r>
      <w:r w:rsidR="00B03713">
        <w:rPr>
          <w:rFonts w:cs="Times New Roman"/>
        </w:rPr>
        <w:t xml:space="preserve">‘mainstream’ </w:t>
      </w:r>
      <w:r w:rsidR="00394F78">
        <w:rPr>
          <w:rFonts w:cs="Times New Roman"/>
        </w:rPr>
        <w:t xml:space="preserve">information about HIV testing </w:t>
      </w:r>
      <w:r w:rsidR="00B03713">
        <w:rPr>
          <w:rFonts w:cs="Times New Roman"/>
        </w:rPr>
        <w:t>targeted towards MSMs and IVDUs</w:t>
      </w:r>
      <w:r w:rsidR="00173ADF">
        <w:rPr>
          <w:rFonts w:cs="Times New Roman"/>
        </w:rPr>
        <w:t xml:space="preserve">, and were also deleteriously affected, partly because of language and cultural difference, but also because of information and economic deficits, including migrant status, which made some fearful of seeking a test in the event that it proved positive.  </w:t>
      </w:r>
    </w:p>
    <w:p w:rsidR="00CE0845" w:rsidRDefault="006A7542" w:rsidP="006F3809">
      <w:pPr>
        <w:spacing w:after="0" w:line="480" w:lineRule="auto"/>
        <w:ind w:firstLine="720"/>
        <w:rPr>
          <w:rFonts w:cs="Times New Roman"/>
        </w:rPr>
      </w:pPr>
      <w:r>
        <w:rPr>
          <w:rFonts w:cs="Times New Roman"/>
        </w:rPr>
        <w:t xml:space="preserve">Caution is needed in interpreting </w:t>
      </w:r>
      <w:r w:rsidR="00173ADF">
        <w:rPr>
          <w:rFonts w:cs="Times New Roman"/>
        </w:rPr>
        <w:t xml:space="preserve">findings from an unmatched international comparison of retrospective data collected from different data systems </w:t>
      </w:r>
      <w:r w:rsidR="00DF1501">
        <w:rPr>
          <w:rFonts w:cs="Times New Roman"/>
        </w:rPr>
        <w:t>including a hospital</w:t>
      </w:r>
      <w:r w:rsidR="00173ADF">
        <w:rPr>
          <w:rFonts w:cs="Times New Roman"/>
        </w:rPr>
        <w:t>, paper-based system in the UK</w:t>
      </w:r>
      <w:r w:rsidR="00DF1501">
        <w:rPr>
          <w:rFonts w:cs="Times New Roman"/>
        </w:rPr>
        <w:t>,</w:t>
      </w:r>
      <w:r w:rsidR="00173ADF">
        <w:rPr>
          <w:rFonts w:cs="Times New Roman"/>
        </w:rPr>
        <w:t xml:space="preserve"> and a national, digital health insurance record in France</w:t>
      </w:r>
      <w:r w:rsidR="00DF1501">
        <w:rPr>
          <w:rFonts w:cs="Times New Roman"/>
        </w:rPr>
        <w:t xml:space="preserve">. Nevertheless, </w:t>
      </w:r>
      <w:r w:rsidR="00173ADF">
        <w:rPr>
          <w:rFonts w:cs="Times New Roman"/>
        </w:rPr>
        <w:t xml:space="preserve">similarities in the findings </w:t>
      </w:r>
      <w:r>
        <w:rPr>
          <w:rFonts w:cs="Times New Roman"/>
        </w:rPr>
        <w:t xml:space="preserve">reported here </w:t>
      </w:r>
      <w:r w:rsidR="00173ADF">
        <w:rPr>
          <w:rFonts w:cs="Times New Roman"/>
        </w:rPr>
        <w:t xml:space="preserve">suggest that there is </w:t>
      </w:r>
      <w:r>
        <w:rPr>
          <w:rFonts w:cs="Times New Roman"/>
        </w:rPr>
        <w:t xml:space="preserve">a substantial need </w:t>
      </w:r>
      <w:r w:rsidR="00173ADF">
        <w:rPr>
          <w:rFonts w:cs="Times New Roman"/>
        </w:rPr>
        <w:t xml:space="preserve">to develop health promotion and education interventions targeted at </w:t>
      </w:r>
      <w:r w:rsidR="00DF1501">
        <w:rPr>
          <w:rFonts w:cs="Times New Roman"/>
        </w:rPr>
        <w:t xml:space="preserve">heterosexuals, and older heterosexual women in particular, and migrant of BAME groups in both countries. </w:t>
      </w:r>
    </w:p>
    <w:p w:rsidR="00312843" w:rsidRDefault="00312843" w:rsidP="004078DD">
      <w:pPr>
        <w:autoSpaceDE w:val="0"/>
        <w:autoSpaceDN w:val="0"/>
        <w:adjustRightInd w:val="0"/>
        <w:spacing w:after="0" w:line="480" w:lineRule="auto"/>
        <w:rPr>
          <w:rFonts w:cs="Times New Roman"/>
          <w:b/>
        </w:rPr>
      </w:pPr>
    </w:p>
    <w:p w:rsidR="004078DD" w:rsidRPr="00E26753" w:rsidRDefault="004078DD" w:rsidP="004078DD">
      <w:pPr>
        <w:autoSpaceDE w:val="0"/>
        <w:autoSpaceDN w:val="0"/>
        <w:adjustRightInd w:val="0"/>
        <w:spacing w:after="0" w:line="480" w:lineRule="auto"/>
        <w:rPr>
          <w:rFonts w:cs="Times New Roman"/>
        </w:rPr>
      </w:pPr>
      <w:r w:rsidRPr="00E26753">
        <w:rPr>
          <w:rFonts w:cs="Times New Roman"/>
          <w:b/>
        </w:rPr>
        <w:t>Acknowledgements</w:t>
      </w:r>
      <w:r w:rsidRPr="00E26753">
        <w:rPr>
          <w:rFonts w:cs="Times New Roman"/>
          <w:b/>
        </w:rPr>
        <w:br/>
      </w:r>
      <w:r w:rsidRPr="00E26753">
        <w:rPr>
          <w:rFonts w:cs="Times New Roman"/>
        </w:rPr>
        <w:t>The project was supported by the Interreg IVA Channel Programme (project no. 4282) co-funded by the ERDF under the European Cross-Border Cooperation Programme. The authors would like to acknowledge project partners Wendy Jeffreys, Dr Mun-Yee Tung, Dr Lesley Navaratne, Dr Rajesh Hembrom, Dr Faiza Khan, Dr Martine Famechon, Dr Hélène Trouillet, Frédéric Lancel, Dr Philippe Lorenzo, Fiona Tudor and Matt Hart</w:t>
      </w:r>
      <w:r w:rsidR="000169C6">
        <w:rPr>
          <w:rFonts w:cs="Times New Roman"/>
        </w:rPr>
        <w:t>.</w:t>
      </w:r>
    </w:p>
    <w:p w:rsidR="004078DD" w:rsidRPr="00E26753" w:rsidRDefault="004078DD" w:rsidP="004078DD">
      <w:pPr>
        <w:autoSpaceDE w:val="0"/>
        <w:autoSpaceDN w:val="0"/>
        <w:adjustRightInd w:val="0"/>
        <w:spacing w:after="0" w:line="480" w:lineRule="auto"/>
        <w:rPr>
          <w:rFonts w:cs="Times New Roman"/>
          <w:b/>
        </w:rPr>
      </w:pPr>
      <w:r w:rsidRPr="00E26753">
        <w:rPr>
          <w:rFonts w:cs="Times New Roman"/>
          <w:b/>
        </w:rPr>
        <w:t xml:space="preserve">Conflicts of interest </w:t>
      </w:r>
    </w:p>
    <w:p w:rsidR="004078DD" w:rsidRPr="00E26753" w:rsidRDefault="004078DD" w:rsidP="004078DD">
      <w:pPr>
        <w:autoSpaceDE w:val="0"/>
        <w:autoSpaceDN w:val="0"/>
        <w:adjustRightInd w:val="0"/>
        <w:spacing w:after="0" w:line="480" w:lineRule="auto"/>
        <w:rPr>
          <w:rFonts w:cs="Times New Roman"/>
        </w:rPr>
      </w:pPr>
      <w:r w:rsidRPr="00E26753">
        <w:rPr>
          <w:rFonts w:cs="Times New Roman"/>
        </w:rPr>
        <w:t>None declared.</w:t>
      </w:r>
    </w:p>
    <w:p w:rsidR="00403F1D" w:rsidRDefault="00403F1D">
      <w:pPr>
        <w:rPr>
          <w:rFonts w:cs="Times New Roman"/>
          <w:b/>
        </w:rPr>
      </w:pPr>
      <w:r>
        <w:rPr>
          <w:rFonts w:cs="Times New Roman"/>
          <w:b/>
        </w:rPr>
        <w:br w:type="page"/>
      </w:r>
    </w:p>
    <w:p w:rsidR="00A4407B" w:rsidRPr="00E26753" w:rsidRDefault="00251194" w:rsidP="00E93847">
      <w:pPr>
        <w:spacing w:after="0"/>
        <w:rPr>
          <w:rFonts w:cs="Times New Roman"/>
        </w:rPr>
      </w:pPr>
      <w:r w:rsidRPr="00E26753">
        <w:rPr>
          <w:rFonts w:cs="Times New Roman"/>
          <w:b/>
        </w:rPr>
        <w:lastRenderedPageBreak/>
        <w:t>R</w:t>
      </w:r>
      <w:r w:rsidR="00CD64C3" w:rsidRPr="00E26753">
        <w:rPr>
          <w:rFonts w:cs="Times New Roman"/>
          <w:b/>
        </w:rPr>
        <w:t>eferences</w:t>
      </w:r>
      <w:r w:rsidR="00067FEA" w:rsidRPr="00E26753">
        <w:rPr>
          <w:rFonts w:cs="Times New Roman"/>
          <w:b/>
        </w:rPr>
        <w:br/>
      </w:r>
      <w:r w:rsidR="00EA29D6" w:rsidRPr="00E26753">
        <w:rPr>
          <w:rFonts w:cs="Times New Roman"/>
        </w:rPr>
        <w:br/>
      </w:r>
      <w:r w:rsidR="00A4407B" w:rsidRPr="00E26753">
        <w:rPr>
          <w:rFonts w:cs="Times New Roman"/>
        </w:rPr>
        <w:t xml:space="preserve">1. </w:t>
      </w:r>
      <w:r w:rsidR="00E93847" w:rsidRPr="00E93847">
        <w:rPr>
          <w:rFonts w:cs="Times New Roman"/>
        </w:rPr>
        <w:t>European Centre for</w:t>
      </w:r>
      <w:r w:rsidR="00E93847">
        <w:rPr>
          <w:rFonts w:cs="Times New Roman"/>
        </w:rPr>
        <w:t xml:space="preserve"> Disease Prevention and Control/</w:t>
      </w:r>
      <w:r w:rsidR="00E93847" w:rsidRPr="00E93847">
        <w:rPr>
          <w:rFonts w:cs="Times New Roman"/>
        </w:rPr>
        <w:t>WHO Regional Office for Europe. HIV/AIDS surveillance</w:t>
      </w:r>
      <w:r w:rsidR="00E93847">
        <w:rPr>
          <w:rFonts w:cs="Times New Roman"/>
        </w:rPr>
        <w:t xml:space="preserve"> </w:t>
      </w:r>
      <w:r w:rsidR="00E93847" w:rsidRPr="00E93847">
        <w:rPr>
          <w:rFonts w:cs="Times New Roman"/>
        </w:rPr>
        <w:t>in Europe 2014. Stockholm: ECDC; 2015.</w:t>
      </w:r>
    </w:p>
    <w:p w:rsidR="00A4407B" w:rsidRPr="00E26753" w:rsidRDefault="00A4407B" w:rsidP="00CE0845">
      <w:pPr>
        <w:spacing w:after="0"/>
        <w:rPr>
          <w:rFonts w:cs="Times New Roman"/>
        </w:rPr>
      </w:pPr>
    </w:p>
    <w:p w:rsidR="00A4407B" w:rsidRPr="00E26753" w:rsidRDefault="00A4407B" w:rsidP="00CE0845">
      <w:pPr>
        <w:spacing w:after="0"/>
        <w:rPr>
          <w:rFonts w:cs="Times New Roman"/>
        </w:rPr>
      </w:pPr>
      <w:r w:rsidRPr="00E26753">
        <w:rPr>
          <w:rFonts w:cs="Times New Roman"/>
        </w:rPr>
        <w:t>2. Almasi Nokiani F. HIV infection in elderly patients over 65 years. International Journal of Infectious Diseases</w:t>
      </w:r>
      <w:r w:rsidRPr="00E26753">
        <w:rPr>
          <w:rFonts w:cs="Times New Roman"/>
          <w:i/>
        </w:rPr>
        <w:t xml:space="preserve"> </w:t>
      </w:r>
      <w:r w:rsidRPr="00E26753">
        <w:rPr>
          <w:rFonts w:cs="Times New Roman"/>
        </w:rPr>
        <w:t>2010;</w:t>
      </w:r>
      <w:r w:rsidR="00CC29C8">
        <w:rPr>
          <w:rFonts w:cs="Times New Roman"/>
        </w:rPr>
        <w:t xml:space="preserve"> </w:t>
      </w:r>
      <w:r w:rsidRPr="00E26753">
        <w:rPr>
          <w:rFonts w:cs="Times New Roman"/>
          <w:i/>
        </w:rPr>
        <w:t>14</w:t>
      </w:r>
      <w:r w:rsidRPr="00E26753">
        <w:rPr>
          <w:rFonts w:cs="Times New Roman"/>
        </w:rPr>
        <w:t>(Supp 1):e75.</w:t>
      </w:r>
    </w:p>
    <w:p w:rsidR="00A4407B" w:rsidRPr="00E26753" w:rsidRDefault="00A4407B" w:rsidP="00CE0845">
      <w:pPr>
        <w:spacing w:after="0"/>
        <w:rPr>
          <w:rFonts w:cs="Times New Roman"/>
        </w:rPr>
      </w:pPr>
      <w:r w:rsidRPr="00E26753">
        <w:rPr>
          <w:rFonts w:cs="Times New Roman"/>
        </w:rPr>
        <w:br/>
        <w:t>3. Camoni L, Raimondo M, Regine V, Salfa MC, Suligoi B. Late presenters among persons with a new HIV diagnosis in Italy, 2010-2011. BMC Public Health 2013;</w:t>
      </w:r>
      <w:r w:rsidR="00CC29C8">
        <w:rPr>
          <w:rFonts w:cs="Times New Roman"/>
        </w:rPr>
        <w:t xml:space="preserve"> </w:t>
      </w:r>
      <w:r w:rsidRPr="00E26753">
        <w:rPr>
          <w:rFonts w:cs="Times New Roman"/>
          <w:i/>
        </w:rPr>
        <w:t>13:</w:t>
      </w:r>
      <w:r w:rsidRPr="00E26753">
        <w:rPr>
          <w:rFonts w:cs="Times New Roman"/>
        </w:rPr>
        <w:t>281.</w:t>
      </w:r>
    </w:p>
    <w:p w:rsidR="00A4407B" w:rsidRPr="00E26753" w:rsidRDefault="00A4407B" w:rsidP="00CE0845">
      <w:pPr>
        <w:spacing w:after="0"/>
        <w:rPr>
          <w:rFonts w:cs="Times New Roman"/>
        </w:rPr>
      </w:pPr>
      <w:r w:rsidRPr="00E26753">
        <w:rPr>
          <w:rFonts w:cs="Times New Roman"/>
        </w:rPr>
        <w:br/>
        <w:t>4. Mignone J, Migliardi P, Harvey C, Davis J, Madariaga-Vignudo L, Pindera C. HIV as Chronic Illness: Caregiving and Social Networks in a Vulnerable Population. Journal of the Association of Nurses in AIDS Care 2014;</w:t>
      </w:r>
      <w:r w:rsidR="00CC29C8">
        <w:rPr>
          <w:rFonts w:cs="Times New Roman"/>
        </w:rPr>
        <w:t xml:space="preserve"> </w:t>
      </w:r>
      <w:r w:rsidRPr="00CC29C8">
        <w:rPr>
          <w:rFonts w:cs="Times New Roman"/>
          <w:i/>
        </w:rPr>
        <w:t>26</w:t>
      </w:r>
      <w:r w:rsidRPr="00E26753">
        <w:rPr>
          <w:rFonts w:cs="Times New Roman"/>
        </w:rPr>
        <w:t>(3):235–245.</w:t>
      </w:r>
    </w:p>
    <w:p w:rsidR="00A4407B" w:rsidRPr="00E26753" w:rsidRDefault="00A4407B" w:rsidP="00CE0845">
      <w:pPr>
        <w:spacing w:after="0"/>
        <w:rPr>
          <w:rFonts w:cs="Times New Roman"/>
        </w:rPr>
      </w:pPr>
    </w:p>
    <w:p w:rsidR="00B44DAF" w:rsidRDefault="00A4407B" w:rsidP="00CE0845">
      <w:pPr>
        <w:rPr>
          <w:rFonts w:cs="Times New Roman"/>
        </w:rPr>
      </w:pPr>
      <w:r w:rsidRPr="00E26753">
        <w:rPr>
          <w:rFonts w:cs="Times New Roman"/>
        </w:rPr>
        <w:t>5. P</w:t>
      </w:r>
      <w:r w:rsidR="00DA1269" w:rsidRPr="00E26753">
        <w:rPr>
          <w:rFonts w:cs="Times New Roman"/>
        </w:rPr>
        <w:t xml:space="preserve">ublic Health England. </w:t>
      </w:r>
      <w:r w:rsidRPr="00E26753">
        <w:rPr>
          <w:rFonts w:cs="Times New Roman"/>
        </w:rPr>
        <w:t>National HIV Surveillance Data Tables</w:t>
      </w:r>
      <w:r w:rsidR="00DA1269" w:rsidRPr="00E26753">
        <w:rPr>
          <w:rFonts w:cs="Times New Roman"/>
        </w:rPr>
        <w:t>, UK Government</w:t>
      </w:r>
      <w:r w:rsidRPr="00E26753">
        <w:rPr>
          <w:rFonts w:cs="Times New Roman"/>
        </w:rPr>
        <w:t xml:space="preserve">:  </w:t>
      </w:r>
      <w:hyperlink r:id="rId10" w:history="1">
        <w:r w:rsidRPr="00E26753">
          <w:rPr>
            <w:rStyle w:val="Hyperlink"/>
            <w:rFonts w:cs="Times New Roman"/>
          </w:rPr>
          <w:t>https://www.gov.uk/government/statistics/hiv-data-tables</w:t>
        </w:r>
      </w:hyperlink>
      <w:r w:rsidRPr="00E26753">
        <w:rPr>
          <w:rFonts w:cs="Times New Roman"/>
        </w:rPr>
        <w:t>.</w:t>
      </w:r>
      <w:r w:rsidR="00DA1269" w:rsidRPr="00E26753">
        <w:rPr>
          <w:rFonts w:cs="Times New Roman"/>
        </w:rPr>
        <w:t xml:space="preserve"> Accessed </w:t>
      </w:r>
      <w:r w:rsidR="003B4B64">
        <w:rPr>
          <w:rFonts w:cs="Times New Roman"/>
        </w:rPr>
        <w:t>17th March 2017.</w:t>
      </w:r>
      <w:r w:rsidRPr="00E26753">
        <w:rPr>
          <w:rFonts w:cs="Times New Roman"/>
        </w:rPr>
        <w:br/>
      </w:r>
      <w:r w:rsidRPr="00E26753">
        <w:rPr>
          <w:rFonts w:cs="Times New Roman"/>
        </w:rPr>
        <w:br/>
        <w:t>6. Institute of Health Surveillance/L’Institut de veille sanitaire</w:t>
      </w:r>
      <w:r w:rsidR="00DA1269" w:rsidRPr="00E26753">
        <w:rPr>
          <w:rFonts w:cs="Times New Roman"/>
        </w:rPr>
        <w:t xml:space="preserve">: </w:t>
      </w:r>
      <w:hyperlink r:id="rId11" w:history="1">
        <w:r w:rsidR="00B44DAF" w:rsidRPr="009F5FDE">
          <w:rPr>
            <w:rStyle w:val="Hyperlink"/>
            <w:rFonts w:cs="Times New Roman"/>
          </w:rPr>
          <w:t>http://www.aides.org/actu/france-6-372-personnes-ont-decouvert-leur-seropositive-au-vih-en-2012-2353.</w:t>
        </w:r>
        <w:r w:rsidR="00B44DAF" w:rsidRPr="00E37D5D">
          <w:rPr>
            <w:rStyle w:val="Hyperlink"/>
            <w:rFonts w:cs="Times New Roman"/>
            <w:u w:val="none"/>
          </w:rPr>
          <w:t xml:space="preserve"> </w:t>
        </w:r>
      </w:hyperlink>
      <w:r w:rsidR="00E37D5D" w:rsidRPr="00E37D5D">
        <w:rPr>
          <w:rFonts w:cs="Times New Roman"/>
        </w:rPr>
        <w:t>Accessed 17th March 2017</w:t>
      </w:r>
    </w:p>
    <w:p w:rsidR="00B44DAF" w:rsidRPr="00101AE7" w:rsidRDefault="00E37D5D" w:rsidP="00B44DAF">
      <w:pPr>
        <w:rPr>
          <w:rFonts w:ascii="Calibri" w:hAnsi="Calibri"/>
          <w:color w:val="1F497D"/>
          <w:lang w:val="en-US"/>
        </w:rPr>
      </w:pPr>
      <w:r w:rsidRPr="00E37D5D">
        <w:rPr>
          <w:rFonts w:ascii="Calibri" w:hAnsi="Calibri"/>
        </w:rPr>
        <w:t>7.</w:t>
      </w:r>
      <w:r>
        <w:rPr>
          <w:rFonts w:ascii="Calibri" w:hAnsi="Calibri"/>
          <w:color w:val="1F497D"/>
        </w:rPr>
        <w:t xml:space="preserve"> </w:t>
      </w:r>
      <w:r w:rsidR="00CC70C3">
        <w:rPr>
          <w:rFonts w:ascii="Calibri" w:hAnsi="Calibri"/>
        </w:rPr>
        <w:t>Santé P</w:t>
      </w:r>
      <w:r w:rsidRPr="00E37D5D">
        <w:rPr>
          <w:rFonts w:ascii="Calibri" w:hAnsi="Calibri"/>
        </w:rPr>
        <w:t xml:space="preserve">ublique France. </w:t>
      </w:r>
      <w:hyperlink r:id="rId12" w:history="1">
        <w:r w:rsidR="00B44DAF" w:rsidRPr="00101AE7">
          <w:rPr>
            <w:rStyle w:val="Hyperlink"/>
            <w:rFonts w:ascii="Calibri" w:hAnsi="Calibri"/>
            <w:lang w:val="en-US"/>
          </w:rPr>
          <w:t>http://invs.santepubliquefrance.fr/Dossiers-thematiques/Maladies-infectieuses/VIH-sida-IST</w:t>
        </w:r>
      </w:hyperlink>
      <w:r w:rsidRPr="00101AE7">
        <w:rPr>
          <w:rFonts w:ascii="Calibri" w:hAnsi="Calibri"/>
          <w:color w:val="1F497D"/>
          <w:lang w:val="en-US"/>
        </w:rPr>
        <w:t xml:space="preserve">. </w:t>
      </w:r>
      <w:r w:rsidRPr="00101AE7">
        <w:rPr>
          <w:rFonts w:ascii="Calibri" w:hAnsi="Calibri"/>
          <w:lang w:val="en-US"/>
        </w:rPr>
        <w:t>Accessed 17th March 2017.</w:t>
      </w:r>
    </w:p>
    <w:p w:rsidR="00BB4187" w:rsidRDefault="00E37D5D" w:rsidP="00CE0845">
      <w:pPr>
        <w:rPr>
          <w:rFonts w:eastAsia="FreeSerif" w:cs="Times New Roman"/>
        </w:rPr>
      </w:pPr>
      <w:r>
        <w:rPr>
          <w:rFonts w:cs="Times New Roman"/>
        </w:rPr>
        <w:t>8</w:t>
      </w:r>
      <w:r w:rsidR="00A4407B" w:rsidRPr="00E26753">
        <w:rPr>
          <w:rFonts w:cs="Times New Roman"/>
        </w:rPr>
        <w:t xml:space="preserve">. Sarr A, Itodo O, Bouché N, Caté L, Faliu B. Community testing with HIV rapid diagnosis tests (RDT) in France over a period of three years, </w:t>
      </w:r>
      <w:r w:rsidR="00A4407B" w:rsidRPr="00E26753">
        <w:rPr>
          <w:rFonts w:cs="Times New Roman"/>
          <w:i/>
        </w:rPr>
        <w:t>2012-2014</w:t>
      </w:r>
      <w:r w:rsidR="00A4407B" w:rsidRPr="00E26753">
        <w:rPr>
          <w:rFonts w:cs="Times New Roman"/>
        </w:rPr>
        <w:t>. Paris, France: Direction générale de la santé (DGS)</w:t>
      </w:r>
      <w:r w:rsidR="00DA1269" w:rsidRPr="00E26753">
        <w:rPr>
          <w:rFonts w:cs="Times New Roman"/>
        </w:rPr>
        <w:t>, 2015</w:t>
      </w:r>
      <w:r>
        <w:rPr>
          <w:rFonts w:cs="Times New Roman"/>
        </w:rPr>
        <w:br/>
      </w:r>
      <w:r>
        <w:rPr>
          <w:rFonts w:cs="Times New Roman"/>
        </w:rPr>
        <w:br/>
        <w:t>9</w:t>
      </w:r>
      <w:r w:rsidR="00A4407B" w:rsidRPr="00E26753">
        <w:rPr>
          <w:rFonts w:cs="Times New Roman"/>
        </w:rPr>
        <w:t>. Supervie V, Ndawinz JDA, Lodi</w:t>
      </w:r>
      <w:r w:rsidR="0065251C" w:rsidRPr="00E26753">
        <w:rPr>
          <w:rFonts w:cs="Times New Roman"/>
        </w:rPr>
        <w:t xml:space="preserve"> </w:t>
      </w:r>
      <w:r w:rsidR="00A4407B" w:rsidRPr="00E26753">
        <w:rPr>
          <w:rFonts w:cs="Times New Roman"/>
        </w:rPr>
        <w:t>S</w:t>
      </w:r>
      <w:r w:rsidR="0065251C" w:rsidRPr="00E26753">
        <w:rPr>
          <w:rFonts w:cs="Times New Roman"/>
        </w:rPr>
        <w:t xml:space="preserve">, </w:t>
      </w:r>
      <w:r w:rsidR="00A4407B" w:rsidRPr="00E26753">
        <w:rPr>
          <w:rFonts w:cs="Times New Roman"/>
        </w:rPr>
        <w:t xml:space="preserve">Costagliola D. </w:t>
      </w:r>
      <w:r w:rsidR="0065251C" w:rsidRPr="00E26753">
        <w:rPr>
          <w:rFonts w:cs="Times New Roman"/>
        </w:rPr>
        <w:t>T</w:t>
      </w:r>
      <w:r w:rsidR="00A4407B" w:rsidRPr="00E26753">
        <w:rPr>
          <w:rFonts w:cs="Times New Roman"/>
        </w:rPr>
        <w:t>he undiagnosed HIV epidemic in France and its implications for HIV screening strategies. AIDS</w:t>
      </w:r>
      <w:r w:rsidR="0065251C" w:rsidRPr="00E26753">
        <w:rPr>
          <w:rFonts w:cs="Times New Roman"/>
        </w:rPr>
        <w:t xml:space="preserve"> 2014;</w:t>
      </w:r>
      <w:r w:rsidR="00CC29C8">
        <w:rPr>
          <w:rFonts w:cs="Times New Roman"/>
        </w:rPr>
        <w:t xml:space="preserve"> </w:t>
      </w:r>
      <w:r w:rsidR="00A4407B" w:rsidRPr="00CC29C8">
        <w:rPr>
          <w:rFonts w:cs="Times New Roman"/>
          <w:i/>
        </w:rPr>
        <w:t>28</w:t>
      </w:r>
      <w:r w:rsidR="00A4407B" w:rsidRPr="00E26753">
        <w:rPr>
          <w:rFonts w:cs="Times New Roman"/>
        </w:rPr>
        <w:t>(12)</w:t>
      </w:r>
      <w:r w:rsidR="0065251C" w:rsidRPr="00E26753">
        <w:rPr>
          <w:rFonts w:cs="Times New Roman"/>
        </w:rPr>
        <w:t>:</w:t>
      </w:r>
      <w:r>
        <w:rPr>
          <w:rFonts w:cs="Times New Roman"/>
        </w:rPr>
        <w:t>1797–1804.</w:t>
      </w:r>
      <w:r>
        <w:rPr>
          <w:rFonts w:cs="Times New Roman"/>
        </w:rPr>
        <w:br/>
      </w:r>
      <w:r>
        <w:rPr>
          <w:rFonts w:cs="Times New Roman"/>
        </w:rPr>
        <w:br/>
        <w:t>10</w:t>
      </w:r>
      <w:r w:rsidR="00A4407B" w:rsidRPr="00E26753">
        <w:rPr>
          <w:rFonts w:cs="Times New Roman"/>
        </w:rPr>
        <w:t>. Castilla J, Sobrino P, De La Fuente L, Noguer I, Guerra L, Parras F. Late diagnosis of HIV infection in the era of highly active antiretroviral therapy: Consequences for AIDS incidence. AIDS</w:t>
      </w:r>
      <w:r w:rsidR="0065251C" w:rsidRPr="00E26753">
        <w:rPr>
          <w:rFonts w:cs="Times New Roman"/>
        </w:rPr>
        <w:t xml:space="preserve"> 2002;</w:t>
      </w:r>
      <w:r w:rsidR="00CC29C8">
        <w:rPr>
          <w:rFonts w:cs="Times New Roman"/>
        </w:rPr>
        <w:t xml:space="preserve"> </w:t>
      </w:r>
      <w:r w:rsidR="00A4407B" w:rsidRPr="00CC29C8">
        <w:rPr>
          <w:rFonts w:cs="Times New Roman"/>
          <w:i/>
        </w:rPr>
        <w:t>16</w:t>
      </w:r>
      <w:r w:rsidR="00A4407B" w:rsidRPr="00E26753">
        <w:rPr>
          <w:rFonts w:cs="Times New Roman"/>
        </w:rPr>
        <w:t>(14)</w:t>
      </w:r>
      <w:r w:rsidR="0065251C" w:rsidRPr="00E26753">
        <w:rPr>
          <w:rFonts w:cs="Times New Roman"/>
        </w:rPr>
        <w:t>:</w:t>
      </w:r>
      <w:r w:rsidR="00A4407B" w:rsidRPr="00E26753">
        <w:rPr>
          <w:rFonts w:cs="Times New Roman"/>
        </w:rPr>
        <w:t>1945-1951.</w:t>
      </w:r>
      <w:r w:rsidR="00A4407B" w:rsidRPr="00E26753">
        <w:rPr>
          <w:rFonts w:cs="Times New Roman"/>
        </w:rPr>
        <w:br/>
      </w:r>
      <w:r w:rsidR="00A4407B" w:rsidRPr="00E26753">
        <w:rPr>
          <w:rFonts w:cs="Times New Roman"/>
        </w:rPr>
        <w:br/>
      </w:r>
      <w:r>
        <w:rPr>
          <w:rFonts w:eastAsia="FreeSerif" w:cs="Times New Roman"/>
        </w:rPr>
        <w:t>11</w:t>
      </w:r>
      <w:r w:rsidR="00A4407B" w:rsidRPr="00E26753">
        <w:rPr>
          <w:rFonts w:eastAsia="FreeSerif" w:cs="Times New Roman"/>
        </w:rPr>
        <w:t xml:space="preserve">. Chadborn TR, Delpech VC, Sabin CA, Sinka K, </w:t>
      </w:r>
      <w:r w:rsidR="0065251C" w:rsidRPr="00E26753">
        <w:rPr>
          <w:rFonts w:eastAsia="FreeSerif" w:cs="Times New Roman"/>
        </w:rPr>
        <w:t>E</w:t>
      </w:r>
      <w:r w:rsidR="00A4407B" w:rsidRPr="00E26753">
        <w:rPr>
          <w:rFonts w:eastAsia="FreeSerif" w:cs="Times New Roman"/>
        </w:rPr>
        <w:t>vans BG. Late diagnosis and consequent short term mortality. AIDS</w:t>
      </w:r>
      <w:r w:rsidR="0065251C" w:rsidRPr="00E26753">
        <w:rPr>
          <w:rFonts w:eastAsia="FreeSerif" w:cs="Times New Roman"/>
        </w:rPr>
        <w:t xml:space="preserve"> 2006;</w:t>
      </w:r>
      <w:r w:rsidR="00CC29C8">
        <w:rPr>
          <w:rFonts w:eastAsia="FreeSerif" w:cs="Times New Roman"/>
        </w:rPr>
        <w:t xml:space="preserve"> </w:t>
      </w:r>
      <w:r w:rsidR="00A4407B" w:rsidRPr="00CC29C8">
        <w:rPr>
          <w:rFonts w:eastAsia="FreeSerif" w:cs="Times New Roman"/>
          <w:i/>
        </w:rPr>
        <w:t>20</w:t>
      </w:r>
      <w:r w:rsidR="00A4407B" w:rsidRPr="00E26753">
        <w:rPr>
          <w:rFonts w:eastAsia="FreeSerif" w:cs="Times New Roman"/>
        </w:rPr>
        <w:t>(18)</w:t>
      </w:r>
      <w:r w:rsidR="0065251C" w:rsidRPr="00E26753">
        <w:rPr>
          <w:rFonts w:eastAsia="FreeSerif" w:cs="Times New Roman"/>
        </w:rPr>
        <w:t>:</w:t>
      </w:r>
      <w:r w:rsidR="00A4407B" w:rsidRPr="00E26753">
        <w:rPr>
          <w:rFonts w:eastAsia="FreeSerif" w:cs="Times New Roman"/>
        </w:rPr>
        <w:t>2371-9.</w:t>
      </w:r>
    </w:p>
    <w:p w:rsidR="006A7542" w:rsidRDefault="00E37D5D" w:rsidP="00CE0845">
      <w:pPr>
        <w:rPr>
          <w:rFonts w:cs="Times New Roman"/>
        </w:rPr>
      </w:pPr>
      <w:r>
        <w:rPr>
          <w:rFonts w:eastAsia="FreeSerif" w:cs="Times New Roman"/>
        </w:rPr>
        <w:t>12</w:t>
      </w:r>
      <w:r w:rsidR="00BB4187">
        <w:rPr>
          <w:rFonts w:eastAsia="FreeSerif" w:cs="Times New Roman"/>
        </w:rPr>
        <w:t xml:space="preserve">. O’Connor, S.J. and Manship, S. Understanding factors behind the late testing and diagnosis of HIV: a review of the international literature. HIV Nursing, 2016, </w:t>
      </w:r>
      <w:r w:rsidR="00BB4187" w:rsidRPr="00CC29C8">
        <w:rPr>
          <w:rFonts w:eastAsia="FreeSerif" w:cs="Times New Roman"/>
          <w:i/>
        </w:rPr>
        <w:t>16</w:t>
      </w:r>
      <w:r w:rsidR="00CC29C8" w:rsidRPr="00CC29C8">
        <w:rPr>
          <w:rFonts w:eastAsia="FreeSerif" w:cs="Times New Roman"/>
        </w:rPr>
        <w:t>:</w:t>
      </w:r>
      <w:r w:rsidR="00BB4187" w:rsidRPr="00CC29C8">
        <w:rPr>
          <w:rFonts w:eastAsia="FreeSerif" w:cs="Times New Roman"/>
        </w:rPr>
        <w:t>97</w:t>
      </w:r>
      <w:r w:rsidR="00BB4187">
        <w:rPr>
          <w:rFonts w:eastAsia="FreeSerif" w:cs="Times New Roman"/>
        </w:rPr>
        <w:t>-103.</w:t>
      </w:r>
    </w:p>
    <w:p w:rsidR="00A4407B" w:rsidRPr="006A7542" w:rsidRDefault="00E37D5D" w:rsidP="00CE0845">
      <w:pPr>
        <w:rPr>
          <w:rFonts w:cs="Times New Roman"/>
        </w:rPr>
      </w:pPr>
      <w:r>
        <w:rPr>
          <w:rFonts w:cs="Times New Roman"/>
        </w:rPr>
        <w:t>13</w:t>
      </w:r>
      <w:r w:rsidR="00A4407B" w:rsidRPr="00E26753">
        <w:rPr>
          <w:rFonts w:cs="Times New Roman"/>
        </w:rPr>
        <w:t xml:space="preserve">. Adler A, Mounier-Jack S, </w:t>
      </w:r>
      <w:r w:rsidR="0065251C" w:rsidRPr="00E26753">
        <w:rPr>
          <w:rFonts w:cs="Times New Roman"/>
        </w:rPr>
        <w:t>C</w:t>
      </w:r>
      <w:r w:rsidR="00A4407B" w:rsidRPr="00E26753">
        <w:rPr>
          <w:rFonts w:cs="Times New Roman"/>
        </w:rPr>
        <w:t>oker RJ</w:t>
      </w:r>
      <w:r w:rsidR="0065251C" w:rsidRPr="00E26753">
        <w:rPr>
          <w:rFonts w:cs="Times New Roman"/>
        </w:rPr>
        <w:t>.</w:t>
      </w:r>
      <w:r w:rsidR="00A4407B" w:rsidRPr="00E26753">
        <w:rPr>
          <w:rFonts w:cs="Times New Roman"/>
        </w:rPr>
        <w:t xml:space="preserve"> Late diagnosis of HIV in Europe: definitional and public health challenges. Health Sciences</w:t>
      </w:r>
      <w:r w:rsidR="0065251C" w:rsidRPr="00E26753">
        <w:rPr>
          <w:rFonts w:cs="Times New Roman"/>
        </w:rPr>
        <w:t xml:space="preserve"> 2010;</w:t>
      </w:r>
      <w:r w:rsidR="00CC29C8">
        <w:rPr>
          <w:rFonts w:cs="Times New Roman"/>
        </w:rPr>
        <w:t xml:space="preserve"> </w:t>
      </w:r>
      <w:r w:rsidR="00A4407B" w:rsidRPr="00CC29C8">
        <w:rPr>
          <w:rFonts w:cs="Times New Roman"/>
          <w:i/>
        </w:rPr>
        <w:t>21</w:t>
      </w:r>
      <w:r w:rsidR="00A4407B" w:rsidRPr="00E26753">
        <w:rPr>
          <w:rFonts w:cs="Times New Roman"/>
        </w:rPr>
        <w:t>(3)</w:t>
      </w:r>
      <w:r w:rsidR="0065251C" w:rsidRPr="00E26753">
        <w:rPr>
          <w:rFonts w:cs="Times New Roman"/>
        </w:rPr>
        <w:t>:</w:t>
      </w:r>
      <w:r w:rsidR="00A4407B" w:rsidRPr="00E26753">
        <w:rPr>
          <w:rFonts w:cs="Times New Roman"/>
        </w:rPr>
        <w:t>284-293.</w:t>
      </w:r>
      <w:r w:rsidR="00A4407B" w:rsidRPr="00E26753">
        <w:rPr>
          <w:rFonts w:cs="Times New Roman"/>
        </w:rPr>
        <w:br/>
      </w:r>
      <w:r w:rsidR="00A4407B" w:rsidRPr="00E26753">
        <w:rPr>
          <w:rFonts w:cs="Times New Roman"/>
        </w:rPr>
        <w:br/>
      </w:r>
      <w:r w:rsidR="00A4407B" w:rsidRPr="000169C6">
        <w:rPr>
          <w:rFonts w:cs="Times New Roman"/>
        </w:rPr>
        <w:t>1</w:t>
      </w:r>
      <w:r>
        <w:rPr>
          <w:rFonts w:cs="Times New Roman"/>
        </w:rPr>
        <w:t>4</w:t>
      </w:r>
      <w:r w:rsidR="00A4407B" w:rsidRPr="000169C6">
        <w:rPr>
          <w:rFonts w:cs="Times New Roman"/>
        </w:rPr>
        <w:t>.</w:t>
      </w:r>
      <w:r w:rsidR="00A4407B" w:rsidRPr="00E26753">
        <w:rPr>
          <w:rFonts w:cs="Times New Roman"/>
        </w:rPr>
        <w:t xml:space="preserve"> Mukolo A, Villegas R, Aliyu M, </w:t>
      </w:r>
      <w:r w:rsidR="0065251C" w:rsidRPr="00E26753">
        <w:rPr>
          <w:rFonts w:cs="Times New Roman"/>
        </w:rPr>
        <w:t>W</w:t>
      </w:r>
      <w:r w:rsidR="00A4407B" w:rsidRPr="00E26753">
        <w:rPr>
          <w:rFonts w:cs="Times New Roman"/>
        </w:rPr>
        <w:t>allston KA</w:t>
      </w:r>
      <w:r w:rsidR="0065251C" w:rsidRPr="00E26753">
        <w:rPr>
          <w:rFonts w:cs="Times New Roman"/>
        </w:rPr>
        <w:t xml:space="preserve">. </w:t>
      </w:r>
      <w:r w:rsidR="00A4407B" w:rsidRPr="00E26753">
        <w:rPr>
          <w:rFonts w:cs="Times New Roman"/>
        </w:rPr>
        <w:t>Predictors of Late Presentation for HIV Diagnosis: A Literature Review and Suggested Way Forward. AIDS and Behaviour</w:t>
      </w:r>
      <w:r w:rsidR="0065251C" w:rsidRPr="00E26753">
        <w:rPr>
          <w:rFonts w:cs="Times New Roman"/>
        </w:rPr>
        <w:t xml:space="preserve"> 2013;</w:t>
      </w:r>
      <w:r w:rsidR="00CC29C8">
        <w:rPr>
          <w:rFonts w:cs="Times New Roman"/>
        </w:rPr>
        <w:t xml:space="preserve"> </w:t>
      </w:r>
      <w:r w:rsidR="00A4407B" w:rsidRPr="00CC29C8">
        <w:rPr>
          <w:rFonts w:cs="Times New Roman"/>
          <w:i/>
        </w:rPr>
        <w:t>17</w:t>
      </w:r>
      <w:r w:rsidR="00A4407B" w:rsidRPr="00E26753">
        <w:rPr>
          <w:rFonts w:cs="Times New Roman"/>
        </w:rPr>
        <w:t>(1)</w:t>
      </w:r>
      <w:r w:rsidR="0065251C" w:rsidRPr="00E26753">
        <w:rPr>
          <w:rFonts w:cs="Times New Roman"/>
        </w:rPr>
        <w:t>:</w:t>
      </w:r>
      <w:r w:rsidR="00A4407B" w:rsidRPr="00E26753">
        <w:rPr>
          <w:rFonts w:cs="Times New Roman"/>
        </w:rPr>
        <w:t>5-30.</w:t>
      </w:r>
      <w:r w:rsidR="00BB4187">
        <w:rPr>
          <w:rFonts w:cs="Times New Roman"/>
        </w:rPr>
        <w:br/>
      </w:r>
      <w:r w:rsidR="00BB4187" w:rsidRPr="000169C6">
        <w:rPr>
          <w:rFonts w:cs="Times New Roman"/>
        </w:rPr>
        <w:lastRenderedPageBreak/>
        <w:t>1</w:t>
      </w:r>
      <w:r>
        <w:rPr>
          <w:rFonts w:cs="Times New Roman"/>
        </w:rPr>
        <w:t>5</w:t>
      </w:r>
      <w:r w:rsidR="00A4407B" w:rsidRPr="00E26753">
        <w:rPr>
          <w:rFonts w:cs="Times New Roman"/>
        </w:rPr>
        <w:t>. Dowson L, Kober C, Perry N, Fisher M, Richardson D. Why some MSM present late for HIV testing: a qualitative analysis. AIDS Care</w:t>
      </w:r>
      <w:r w:rsidR="0065251C" w:rsidRPr="00E26753">
        <w:rPr>
          <w:rFonts w:cs="Times New Roman"/>
        </w:rPr>
        <w:t xml:space="preserve"> 2012;</w:t>
      </w:r>
      <w:r w:rsidR="00CC29C8">
        <w:rPr>
          <w:rFonts w:cs="Times New Roman"/>
        </w:rPr>
        <w:t xml:space="preserve"> </w:t>
      </w:r>
      <w:r w:rsidR="00A4407B" w:rsidRPr="00CC29C8">
        <w:rPr>
          <w:rFonts w:cs="Times New Roman"/>
          <w:i/>
        </w:rPr>
        <w:t>24</w:t>
      </w:r>
      <w:r w:rsidR="00A4407B" w:rsidRPr="00E26753">
        <w:rPr>
          <w:rFonts w:cs="Times New Roman"/>
        </w:rPr>
        <w:t>(2)</w:t>
      </w:r>
      <w:r w:rsidR="0065251C" w:rsidRPr="00E26753">
        <w:rPr>
          <w:rFonts w:cs="Times New Roman"/>
        </w:rPr>
        <w:t>:</w:t>
      </w:r>
      <w:r w:rsidR="00A4407B" w:rsidRPr="00E26753">
        <w:rPr>
          <w:rFonts w:cs="Times New Roman"/>
        </w:rPr>
        <w:t>204-209.</w:t>
      </w:r>
      <w:r w:rsidR="00BB4187">
        <w:rPr>
          <w:rFonts w:cs="Times New Roman"/>
        </w:rPr>
        <w:br/>
      </w:r>
      <w:r w:rsidR="00BB4187">
        <w:rPr>
          <w:rFonts w:cs="Times New Roman"/>
        </w:rPr>
        <w:br/>
        <w:t>1</w:t>
      </w:r>
      <w:r>
        <w:rPr>
          <w:rFonts w:cs="Times New Roman"/>
        </w:rPr>
        <w:t>6</w:t>
      </w:r>
      <w:r w:rsidR="00A4407B" w:rsidRPr="00E26753">
        <w:rPr>
          <w:rFonts w:cs="Times New Roman"/>
        </w:rPr>
        <w:t>. Hanf M, Bousser V, Parriault MC</w:t>
      </w:r>
      <w:r w:rsidR="0065251C" w:rsidRPr="00E26753">
        <w:rPr>
          <w:rFonts w:cs="Times New Roman"/>
        </w:rPr>
        <w:t xml:space="preserve"> et al. </w:t>
      </w:r>
      <w:r w:rsidR="00A4407B" w:rsidRPr="00E26753">
        <w:rPr>
          <w:rFonts w:cs="Times New Roman"/>
        </w:rPr>
        <w:t>Knowledge of free voluntary HIV testing centres and willingness to do a test among migrants in Cayenne, French Guiana. AIDS Care</w:t>
      </w:r>
      <w:r w:rsidR="0065251C" w:rsidRPr="00E26753">
        <w:rPr>
          <w:rFonts w:cs="Times New Roman"/>
        </w:rPr>
        <w:t xml:space="preserve"> 2011;</w:t>
      </w:r>
      <w:r w:rsidR="00CC29C8">
        <w:rPr>
          <w:rFonts w:cs="Times New Roman"/>
        </w:rPr>
        <w:t xml:space="preserve"> </w:t>
      </w:r>
      <w:r w:rsidR="00A4407B" w:rsidRPr="00CC29C8">
        <w:rPr>
          <w:rFonts w:cs="Times New Roman"/>
          <w:i/>
        </w:rPr>
        <w:t>23</w:t>
      </w:r>
      <w:r w:rsidR="00A4407B" w:rsidRPr="00E26753">
        <w:rPr>
          <w:rFonts w:cs="Times New Roman"/>
        </w:rPr>
        <w:t>(4)</w:t>
      </w:r>
      <w:r w:rsidR="0065251C" w:rsidRPr="00E26753">
        <w:rPr>
          <w:rFonts w:cs="Times New Roman"/>
        </w:rPr>
        <w:t>:</w:t>
      </w:r>
      <w:r w:rsidR="00A4407B" w:rsidRPr="00E26753">
        <w:rPr>
          <w:rFonts w:cs="Times New Roman"/>
        </w:rPr>
        <w:t>476-485.</w:t>
      </w:r>
      <w:r>
        <w:rPr>
          <w:rFonts w:cs="Times New Roman"/>
        </w:rPr>
        <w:br/>
      </w:r>
      <w:r>
        <w:rPr>
          <w:rFonts w:cs="Times New Roman"/>
        </w:rPr>
        <w:br/>
        <w:t>17</w:t>
      </w:r>
      <w:r w:rsidR="00A4407B" w:rsidRPr="00E26753">
        <w:rPr>
          <w:rFonts w:cs="Times New Roman"/>
        </w:rPr>
        <w:t>. Yazdanpanah Y, Lange J, Gerstoft J, Cairns G. Earlier testing for HIV – how do we prevent late presentation? Antiviral Therapy</w:t>
      </w:r>
      <w:r w:rsidR="0065251C" w:rsidRPr="00E26753">
        <w:rPr>
          <w:rFonts w:cs="Times New Roman"/>
        </w:rPr>
        <w:t xml:space="preserve"> 2010;</w:t>
      </w:r>
      <w:r w:rsidR="00CC29C8">
        <w:rPr>
          <w:rFonts w:cs="Times New Roman"/>
        </w:rPr>
        <w:t xml:space="preserve"> </w:t>
      </w:r>
      <w:r w:rsidR="00A4407B" w:rsidRPr="00CC29C8">
        <w:rPr>
          <w:rFonts w:cs="Times New Roman"/>
          <w:i/>
        </w:rPr>
        <w:t>Supp 1</w:t>
      </w:r>
      <w:r w:rsidR="0065251C" w:rsidRPr="00E26753">
        <w:rPr>
          <w:rFonts w:cs="Times New Roman"/>
        </w:rPr>
        <w:t>:</w:t>
      </w:r>
      <w:r w:rsidR="00A4407B" w:rsidRPr="00E26753">
        <w:rPr>
          <w:rFonts w:cs="Times New Roman"/>
        </w:rPr>
        <w:t>17-24.</w:t>
      </w:r>
      <w:r>
        <w:rPr>
          <w:rFonts w:cs="Times New Roman"/>
        </w:rPr>
        <w:br/>
      </w:r>
      <w:r>
        <w:rPr>
          <w:rFonts w:cs="Times New Roman"/>
        </w:rPr>
        <w:br/>
        <w:t>18</w:t>
      </w:r>
      <w:r w:rsidR="00A4407B" w:rsidRPr="00E26753">
        <w:rPr>
          <w:rFonts w:cs="Times New Roman"/>
        </w:rPr>
        <w:t>. Vives N, Carnicer-Pont D, Garcia de Olalla P, Camps N, Esteve A, Casabona</w:t>
      </w:r>
      <w:r w:rsidR="0065251C" w:rsidRPr="00E26753">
        <w:rPr>
          <w:rFonts w:cs="Times New Roman"/>
        </w:rPr>
        <w:t xml:space="preserve"> J.</w:t>
      </w:r>
      <w:r w:rsidR="00A4407B" w:rsidRPr="00E26753">
        <w:rPr>
          <w:rFonts w:cs="Times New Roman"/>
        </w:rPr>
        <w:t xml:space="preserve"> Factors associated with late presentation of HIV infection in Catalonia, Spain. International Journal of STD &amp; AIDS</w:t>
      </w:r>
      <w:r w:rsidR="0065251C" w:rsidRPr="00E26753">
        <w:rPr>
          <w:rFonts w:cs="Times New Roman"/>
        </w:rPr>
        <w:t xml:space="preserve"> 2012;</w:t>
      </w:r>
      <w:r w:rsidR="00CC29C8">
        <w:rPr>
          <w:rFonts w:cs="Times New Roman"/>
        </w:rPr>
        <w:t xml:space="preserve"> </w:t>
      </w:r>
      <w:r w:rsidR="00A4407B" w:rsidRPr="00CC29C8">
        <w:rPr>
          <w:rFonts w:cs="Times New Roman"/>
          <w:i/>
        </w:rPr>
        <w:t>23</w:t>
      </w:r>
      <w:r w:rsidR="0065251C" w:rsidRPr="00E26753">
        <w:rPr>
          <w:rFonts w:cs="Times New Roman"/>
        </w:rPr>
        <w:t>:</w:t>
      </w:r>
      <w:r w:rsidR="00A4407B" w:rsidRPr="00E26753">
        <w:rPr>
          <w:rFonts w:cs="Times New Roman"/>
        </w:rPr>
        <w:t>475-480.</w:t>
      </w:r>
      <w:r>
        <w:rPr>
          <w:rFonts w:cs="Times New Roman"/>
        </w:rPr>
        <w:br/>
      </w:r>
      <w:r>
        <w:rPr>
          <w:rFonts w:cs="Times New Roman"/>
        </w:rPr>
        <w:br/>
        <w:t>19</w:t>
      </w:r>
      <w:r w:rsidR="00A4407B" w:rsidRPr="00E26753">
        <w:rPr>
          <w:rFonts w:cs="Times New Roman"/>
        </w:rPr>
        <w:t xml:space="preserve">. Sudarshi D, Pao D, Murphy G, Parry J, Dean G, </w:t>
      </w:r>
      <w:r w:rsidR="0065251C" w:rsidRPr="00E26753">
        <w:rPr>
          <w:rFonts w:cs="Times New Roman"/>
        </w:rPr>
        <w:t>F</w:t>
      </w:r>
      <w:r w:rsidR="00A4407B" w:rsidRPr="00E26753">
        <w:rPr>
          <w:rFonts w:cs="Times New Roman"/>
        </w:rPr>
        <w:t>isher M. Missed opportunities for diagnosing primary HIV infection. Sexually Transmitted Infections</w:t>
      </w:r>
      <w:r w:rsidR="0065251C" w:rsidRPr="00E26753">
        <w:rPr>
          <w:rFonts w:cs="Times New Roman"/>
        </w:rPr>
        <w:t xml:space="preserve"> 2008;</w:t>
      </w:r>
      <w:r w:rsidR="00CC29C8">
        <w:rPr>
          <w:rFonts w:cs="Times New Roman"/>
        </w:rPr>
        <w:t xml:space="preserve"> </w:t>
      </w:r>
      <w:r w:rsidR="00A4407B" w:rsidRPr="00CC29C8">
        <w:rPr>
          <w:rFonts w:cs="Times New Roman"/>
          <w:i/>
        </w:rPr>
        <w:t>84</w:t>
      </w:r>
      <w:r w:rsidR="0065251C" w:rsidRPr="00E26753">
        <w:rPr>
          <w:rFonts w:cs="Times New Roman"/>
        </w:rPr>
        <w:t>:</w:t>
      </w:r>
      <w:r w:rsidR="00A4407B" w:rsidRPr="00E26753">
        <w:rPr>
          <w:rFonts w:cs="Times New Roman"/>
        </w:rPr>
        <w:t>14-16.</w:t>
      </w:r>
      <w:r>
        <w:rPr>
          <w:rFonts w:cs="Times New Roman"/>
        </w:rPr>
        <w:br/>
      </w:r>
      <w:r>
        <w:rPr>
          <w:rFonts w:cs="Times New Roman"/>
        </w:rPr>
        <w:br/>
        <w:t>20</w:t>
      </w:r>
      <w:r w:rsidR="00A4407B" w:rsidRPr="00E26753">
        <w:rPr>
          <w:rFonts w:cs="Times New Roman"/>
        </w:rPr>
        <w:t>. Sullivan AK, Curtis H, Sabin CA, Johnson MA</w:t>
      </w:r>
      <w:r w:rsidR="0065251C" w:rsidRPr="00E26753">
        <w:rPr>
          <w:rFonts w:cs="Times New Roman"/>
        </w:rPr>
        <w:t>.</w:t>
      </w:r>
      <w:r w:rsidR="00A4407B" w:rsidRPr="00E26753">
        <w:rPr>
          <w:rFonts w:cs="Times New Roman"/>
        </w:rPr>
        <w:t xml:space="preserve"> Newly diagnosed HIV infections: review in the UK and Ireland. British Medical Journal</w:t>
      </w:r>
      <w:r w:rsidR="0065251C" w:rsidRPr="00E26753">
        <w:rPr>
          <w:rFonts w:cs="Times New Roman"/>
        </w:rPr>
        <w:t xml:space="preserve"> 2005;</w:t>
      </w:r>
      <w:r w:rsidR="00CC29C8">
        <w:rPr>
          <w:rFonts w:cs="Times New Roman"/>
        </w:rPr>
        <w:t xml:space="preserve"> </w:t>
      </w:r>
      <w:r w:rsidR="00A4407B" w:rsidRPr="00CC29C8">
        <w:rPr>
          <w:rFonts w:cs="Times New Roman"/>
          <w:i/>
        </w:rPr>
        <w:t>330</w:t>
      </w:r>
      <w:r w:rsidR="0065251C" w:rsidRPr="00E26753">
        <w:rPr>
          <w:rFonts w:cs="Times New Roman"/>
        </w:rPr>
        <w:t>:</w:t>
      </w:r>
      <w:r w:rsidR="00A4407B" w:rsidRPr="00E26753">
        <w:rPr>
          <w:rFonts w:cs="Times New Roman"/>
        </w:rPr>
        <w:t>1301-2.</w:t>
      </w:r>
    </w:p>
    <w:p w:rsidR="00A4407B" w:rsidRPr="00E26753" w:rsidRDefault="00A4407B" w:rsidP="00A4407B">
      <w:pPr>
        <w:spacing w:line="480" w:lineRule="auto"/>
      </w:pPr>
    </w:p>
    <w:p w:rsidR="00A4407B" w:rsidRPr="00E26753" w:rsidRDefault="00A4407B">
      <w:pPr>
        <w:rPr>
          <w:rFonts w:cs="Times New Roman"/>
        </w:rPr>
      </w:pPr>
      <w:r w:rsidRPr="00E26753">
        <w:rPr>
          <w:rFonts w:cs="Times New Roman"/>
        </w:rPr>
        <w:br w:type="page"/>
      </w:r>
    </w:p>
    <w:p w:rsidR="00253E98" w:rsidRDefault="00101AE7" w:rsidP="00101AE7">
      <w:pPr>
        <w:spacing w:after="0" w:line="480" w:lineRule="auto"/>
        <w:rPr>
          <w:rFonts w:cs="Times New Roman"/>
        </w:rPr>
      </w:pPr>
      <w:r>
        <w:rPr>
          <w:rFonts w:cs="Times New Roman"/>
          <w:b/>
        </w:rPr>
        <w:lastRenderedPageBreak/>
        <w:t xml:space="preserve">List of </w:t>
      </w:r>
      <w:r w:rsidR="00186E90" w:rsidRPr="00186E90">
        <w:rPr>
          <w:rFonts w:cs="Times New Roman"/>
          <w:b/>
        </w:rPr>
        <w:t>Figures</w:t>
      </w:r>
      <w:r w:rsidR="00186E90">
        <w:rPr>
          <w:rFonts w:cs="Times New Roman"/>
        </w:rPr>
        <w:br/>
      </w:r>
      <w:r w:rsidR="00253E98">
        <w:rPr>
          <w:rFonts w:cs="Times New Roman"/>
        </w:rPr>
        <w:t xml:space="preserve">Figure 1: Variables included in the data extraction sheet for the review   </w:t>
      </w:r>
    </w:p>
    <w:p w:rsidR="00253E98" w:rsidRDefault="00253E98" w:rsidP="00AF214B">
      <w:pPr>
        <w:spacing w:line="480" w:lineRule="auto"/>
        <w:rPr>
          <w:rFonts w:cs="Times New Roman"/>
        </w:rPr>
      </w:pPr>
    </w:p>
    <w:p w:rsidR="0065500A" w:rsidRDefault="0065500A" w:rsidP="00E90113">
      <w:pPr>
        <w:rPr>
          <w:rFonts w:cs="Times New Roman"/>
        </w:rPr>
      </w:pPr>
    </w:p>
    <w:sectPr w:rsidR="0065500A" w:rsidSect="00CB0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5D" w:rsidRDefault="0066065D" w:rsidP="00E37D5D">
      <w:pPr>
        <w:spacing w:after="0" w:line="240" w:lineRule="auto"/>
      </w:pPr>
      <w:r>
        <w:separator/>
      </w:r>
    </w:p>
  </w:endnote>
  <w:endnote w:type="continuationSeparator" w:id="0">
    <w:p w:rsidR="0066065D" w:rsidRDefault="0066065D" w:rsidP="00E3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eeSerif">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5D" w:rsidRDefault="0066065D" w:rsidP="00E37D5D">
      <w:pPr>
        <w:spacing w:after="0" w:line="240" w:lineRule="auto"/>
      </w:pPr>
      <w:r>
        <w:separator/>
      </w:r>
    </w:p>
  </w:footnote>
  <w:footnote w:type="continuationSeparator" w:id="0">
    <w:p w:rsidR="0066065D" w:rsidRDefault="0066065D" w:rsidP="00E37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0CE"/>
    <w:multiLevelType w:val="hybridMultilevel"/>
    <w:tmpl w:val="6AC23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6D6F78"/>
    <w:multiLevelType w:val="hybridMultilevel"/>
    <w:tmpl w:val="5ABC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6049D"/>
    <w:multiLevelType w:val="hybridMultilevel"/>
    <w:tmpl w:val="6CBE4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550D7"/>
    <w:multiLevelType w:val="hybridMultilevel"/>
    <w:tmpl w:val="F7D65CE4"/>
    <w:lvl w:ilvl="0" w:tplc="1046BF12">
      <w:start w:val="1"/>
      <w:numFmt w:val="bullet"/>
      <w:lvlText w:val="•"/>
      <w:lvlJc w:val="left"/>
      <w:pPr>
        <w:tabs>
          <w:tab w:val="num" w:pos="720"/>
        </w:tabs>
        <w:ind w:left="720" w:hanging="360"/>
      </w:pPr>
      <w:rPr>
        <w:rFonts w:ascii="Arial" w:hAnsi="Arial" w:hint="default"/>
      </w:rPr>
    </w:lvl>
    <w:lvl w:ilvl="1" w:tplc="A738AE58" w:tentative="1">
      <w:start w:val="1"/>
      <w:numFmt w:val="bullet"/>
      <w:lvlText w:val="•"/>
      <w:lvlJc w:val="left"/>
      <w:pPr>
        <w:tabs>
          <w:tab w:val="num" w:pos="1440"/>
        </w:tabs>
        <w:ind w:left="1440" w:hanging="360"/>
      </w:pPr>
      <w:rPr>
        <w:rFonts w:ascii="Arial" w:hAnsi="Arial" w:hint="default"/>
      </w:rPr>
    </w:lvl>
    <w:lvl w:ilvl="2" w:tplc="E0083D9A" w:tentative="1">
      <w:start w:val="1"/>
      <w:numFmt w:val="bullet"/>
      <w:lvlText w:val="•"/>
      <w:lvlJc w:val="left"/>
      <w:pPr>
        <w:tabs>
          <w:tab w:val="num" w:pos="2160"/>
        </w:tabs>
        <w:ind w:left="2160" w:hanging="360"/>
      </w:pPr>
      <w:rPr>
        <w:rFonts w:ascii="Arial" w:hAnsi="Arial" w:hint="default"/>
      </w:rPr>
    </w:lvl>
    <w:lvl w:ilvl="3" w:tplc="C41CF544" w:tentative="1">
      <w:start w:val="1"/>
      <w:numFmt w:val="bullet"/>
      <w:lvlText w:val="•"/>
      <w:lvlJc w:val="left"/>
      <w:pPr>
        <w:tabs>
          <w:tab w:val="num" w:pos="2880"/>
        </w:tabs>
        <w:ind w:left="2880" w:hanging="360"/>
      </w:pPr>
      <w:rPr>
        <w:rFonts w:ascii="Arial" w:hAnsi="Arial" w:hint="default"/>
      </w:rPr>
    </w:lvl>
    <w:lvl w:ilvl="4" w:tplc="FC20F46A" w:tentative="1">
      <w:start w:val="1"/>
      <w:numFmt w:val="bullet"/>
      <w:lvlText w:val="•"/>
      <w:lvlJc w:val="left"/>
      <w:pPr>
        <w:tabs>
          <w:tab w:val="num" w:pos="3600"/>
        </w:tabs>
        <w:ind w:left="3600" w:hanging="360"/>
      </w:pPr>
      <w:rPr>
        <w:rFonts w:ascii="Arial" w:hAnsi="Arial" w:hint="default"/>
      </w:rPr>
    </w:lvl>
    <w:lvl w:ilvl="5" w:tplc="1EF6198E" w:tentative="1">
      <w:start w:val="1"/>
      <w:numFmt w:val="bullet"/>
      <w:lvlText w:val="•"/>
      <w:lvlJc w:val="left"/>
      <w:pPr>
        <w:tabs>
          <w:tab w:val="num" w:pos="4320"/>
        </w:tabs>
        <w:ind w:left="4320" w:hanging="360"/>
      </w:pPr>
      <w:rPr>
        <w:rFonts w:ascii="Arial" w:hAnsi="Arial" w:hint="default"/>
      </w:rPr>
    </w:lvl>
    <w:lvl w:ilvl="6" w:tplc="AC7C89DE" w:tentative="1">
      <w:start w:val="1"/>
      <w:numFmt w:val="bullet"/>
      <w:lvlText w:val="•"/>
      <w:lvlJc w:val="left"/>
      <w:pPr>
        <w:tabs>
          <w:tab w:val="num" w:pos="5040"/>
        </w:tabs>
        <w:ind w:left="5040" w:hanging="360"/>
      </w:pPr>
      <w:rPr>
        <w:rFonts w:ascii="Arial" w:hAnsi="Arial" w:hint="default"/>
      </w:rPr>
    </w:lvl>
    <w:lvl w:ilvl="7" w:tplc="8C7E4B0E" w:tentative="1">
      <w:start w:val="1"/>
      <w:numFmt w:val="bullet"/>
      <w:lvlText w:val="•"/>
      <w:lvlJc w:val="left"/>
      <w:pPr>
        <w:tabs>
          <w:tab w:val="num" w:pos="5760"/>
        </w:tabs>
        <w:ind w:left="5760" w:hanging="360"/>
      </w:pPr>
      <w:rPr>
        <w:rFonts w:ascii="Arial" w:hAnsi="Arial" w:hint="default"/>
      </w:rPr>
    </w:lvl>
    <w:lvl w:ilvl="8" w:tplc="E0A0F9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5D3C65"/>
    <w:multiLevelType w:val="hybridMultilevel"/>
    <w:tmpl w:val="779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83"/>
    <w:rsid w:val="00000892"/>
    <w:rsid w:val="000134B1"/>
    <w:rsid w:val="000169C6"/>
    <w:rsid w:val="00030740"/>
    <w:rsid w:val="000353D9"/>
    <w:rsid w:val="00042118"/>
    <w:rsid w:val="00051292"/>
    <w:rsid w:val="00056459"/>
    <w:rsid w:val="000659CB"/>
    <w:rsid w:val="00067211"/>
    <w:rsid w:val="00067FEA"/>
    <w:rsid w:val="00071BCB"/>
    <w:rsid w:val="000757B4"/>
    <w:rsid w:val="000C2768"/>
    <w:rsid w:val="000D77EA"/>
    <w:rsid w:val="000F3EEA"/>
    <w:rsid w:val="00101AE7"/>
    <w:rsid w:val="0010209B"/>
    <w:rsid w:val="0010233F"/>
    <w:rsid w:val="001175D5"/>
    <w:rsid w:val="00125A40"/>
    <w:rsid w:val="0013236A"/>
    <w:rsid w:val="001430F6"/>
    <w:rsid w:val="0014717E"/>
    <w:rsid w:val="0015086A"/>
    <w:rsid w:val="00161EF3"/>
    <w:rsid w:val="00166D6B"/>
    <w:rsid w:val="00173ADF"/>
    <w:rsid w:val="0017539C"/>
    <w:rsid w:val="00186E90"/>
    <w:rsid w:val="001A23A2"/>
    <w:rsid w:val="001C585C"/>
    <w:rsid w:val="001D71E4"/>
    <w:rsid w:val="001E5439"/>
    <w:rsid w:val="001E6DB6"/>
    <w:rsid w:val="00212BDB"/>
    <w:rsid w:val="00215E89"/>
    <w:rsid w:val="00224EA5"/>
    <w:rsid w:val="0023549B"/>
    <w:rsid w:val="00235E9D"/>
    <w:rsid w:val="002403A1"/>
    <w:rsid w:val="00242F67"/>
    <w:rsid w:val="00250194"/>
    <w:rsid w:val="00251194"/>
    <w:rsid w:val="00253E98"/>
    <w:rsid w:val="002577CE"/>
    <w:rsid w:val="00277E43"/>
    <w:rsid w:val="00280CF0"/>
    <w:rsid w:val="00281140"/>
    <w:rsid w:val="002871C1"/>
    <w:rsid w:val="002A2FA1"/>
    <w:rsid w:val="002A6283"/>
    <w:rsid w:val="002B107A"/>
    <w:rsid w:val="002B58C7"/>
    <w:rsid w:val="002B7A57"/>
    <w:rsid w:val="002D30A5"/>
    <w:rsid w:val="002F427F"/>
    <w:rsid w:val="00302FB9"/>
    <w:rsid w:val="0031135C"/>
    <w:rsid w:val="00312843"/>
    <w:rsid w:val="003169F1"/>
    <w:rsid w:val="00320A8B"/>
    <w:rsid w:val="00352B88"/>
    <w:rsid w:val="00355830"/>
    <w:rsid w:val="00363F45"/>
    <w:rsid w:val="0037150C"/>
    <w:rsid w:val="00387386"/>
    <w:rsid w:val="00387E3A"/>
    <w:rsid w:val="00391725"/>
    <w:rsid w:val="00394F78"/>
    <w:rsid w:val="003A5555"/>
    <w:rsid w:val="003A6BEC"/>
    <w:rsid w:val="003B4B64"/>
    <w:rsid w:val="003C11E4"/>
    <w:rsid w:val="003D0EFE"/>
    <w:rsid w:val="003E25AC"/>
    <w:rsid w:val="003F533C"/>
    <w:rsid w:val="00402BF7"/>
    <w:rsid w:val="00403F1D"/>
    <w:rsid w:val="0040425E"/>
    <w:rsid w:val="00405C4F"/>
    <w:rsid w:val="004078DD"/>
    <w:rsid w:val="00423CF0"/>
    <w:rsid w:val="00446A4F"/>
    <w:rsid w:val="00451465"/>
    <w:rsid w:val="004706B7"/>
    <w:rsid w:val="004738F3"/>
    <w:rsid w:val="00486A2E"/>
    <w:rsid w:val="004A05AC"/>
    <w:rsid w:val="004A16F7"/>
    <w:rsid w:val="004A7222"/>
    <w:rsid w:val="004E0F0B"/>
    <w:rsid w:val="00510EE8"/>
    <w:rsid w:val="0051401C"/>
    <w:rsid w:val="0053609C"/>
    <w:rsid w:val="00543AD8"/>
    <w:rsid w:val="00550AA8"/>
    <w:rsid w:val="0055597B"/>
    <w:rsid w:val="005853C4"/>
    <w:rsid w:val="00596857"/>
    <w:rsid w:val="005B3D56"/>
    <w:rsid w:val="005B4EF1"/>
    <w:rsid w:val="005C5E8C"/>
    <w:rsid w:val="005C6C22"/>
    <w:rsid w:val="005E5DF3"/>
    <w:rsid w:val="005F561B"/>
    <w:rsid w:val="006261A2"/>
    <w:rsid w:val="006268F9"/>
    <w:rsid w:val="0065251C"/>
    <w:rsid w:val="00653ADB"/>
    <w:rsid w:val="0065500A"/>
    <w:rsid w:val="00655303"/>
    <w:rsid w:val="0066017E"/>
    <w:rsid w:val="0066065D"/>
    <w:rsid w:val="006627B0"/>
    <w:rsid w:val="006920EA"/>
    <w:rsid w:val="00693B3F"/>
    <w:rsid w:val="006957C1"/>
    <w:rsid w:val="006A7542"/>
    <w:rsid w:val="006B670E"/>
    <w:rsid w:val="006D451B"/>
    <w:rsid w:val="006D4DA6"/>
    <w:rsid w:val="006E1E7F"/>
    <w:rsid w:val="006F3809"/>
    <w:rsid w:val="007021CE"/>
    <w:rsid w:val="00702613"/>
    <w:rsid w:val="00724910"/>
    <w:rsid w:val="00735989"/>
    <w:rsid w:val="0073649F"/>
    <w:rsid w:val="00741215"/>
    <w:rsid w:val="007432C8"/>
    <w:rsid w:val="00754A65"/>
    <w:rsid w:val="00757914"/>
    <w:rsid w:val="00766474"/>
    <w:rsid w:val="0077262E"/>
    <w:rsid w:val="00775E35"/>
    <w:rsid w:val="007A0E58"/>
    <w:rsid w:val="007B2F26"/>
    <w:rsid w:val="007B339B"/>
    <w:rsid w:val="007F45F2"/>
    <w:rsid w:val="008026E6"/>
    <w:rsid w:val="00832F37"/>
    <w:rsid w:val="00852A45"/>
    <w:rsid w:val="00864B0D"/>
    <w:rsid w:val="0087288D"/>
    <w:rsid w:val="00875CCA"/>
    <w:rsid w:val="0088071E"/>
    <w:rsid w:val="0088675C"/>
    <w:rsid w:val="00892EC3"/>
    <w:rsid w:val="0089647B"/>
    <w:rsid w:val="008C3EFF"/>
    <w:rsid w:val="008E1601"/>
    <w:rsid w:val="008F0BD0"/>
    <w:rsid w:val="008F30C9"/>
    <w:rsid w:val="008F7328"/>
    <w:rsid w:val="00906B63"/>
    <w:rsid w:val="009259AA"/>
    <w:rsid w:val="00926762"/>
    <w:rsid w:val="009301BE"/>
    <w:rsid w:val="00934765"/>
    <w:rsid w:val="00937431"/>
    <w:rsid w:val="00940190"/>
    <w:rsid w:val="00947E7A"/>
    <w:rsid w:val="00960489"/>
    <w:rsid w:val="00960A3E"/>
    <w:rsid w:val="00964D5F"/>
    <w:rsid w:val="009A0A48"/>
    <w:rsid w:val="009B77D7"/>
    <w:rsid w:val="009D2E63"/>
    <w:rsid w:val="00A16FE2"/>
    <w:rsid w:val="00A17AE9"/>
    <w:rsid w:val="00A25EE8"/>
    <w:rsid w:val="00A404E4"/>
    <w:rsid w:val="00A4407B"/>
    <w:rsid w:val="00A540F0"/>
    <w:rsid w:val="00A5668D"/>
    <w:rsid w:val="00A64AAB"/>
    <w:rsid w:val="00A65027"/>
    <w:rsid w:val="00A73D66"/>
    <w:rsid w:val="00A77DC8"/>
    <w:rsid w:val="00A83942"/>
    <w:rsid w:val="00A83A48"/>
    <w:rsid w:val="00A965FA"/>
    <w:rsid w:val="00A96C10"/>
    <w:rsid w:val="00AA5E57"/>
    <w:rsid w:val="00AB15E6"/>
    <w:rsid w:val="00AB17F5"/>
    <w:rsid w:val="00AC230D"/>
    <w:rsid w:val="00AD42A7"/>
    <w:rsid w:val="00AD738F"/>
    <w:rsid w:val="00AE078E"/>
    <w:rsid w:val="00AE2424"/>
    <w:rsid w:val="00AF214B"/>
    <w:rsid w:val="00AF373E"/>
    <w:rsid w:val="00B03713"/>
    <w:rsid w:val="00B0567F"/>
    <w:rsid w:val="00B2376C"/>
    <w:rsid w:val="00B3635B"/>
    <w:rsid w:val="00B44DAF"/>
    <w:rsid w:val="00B465BA"/>
    <w:rsid w:val="00B70D40"/>
    <w:rsid w:val="00B80431"/>
    <w:rsid w:val="00B8794B"/>
    <w:rsid w:val="00B90A16"/>
    <w:rsid w:val="00BA56CD"/>
    <w:rsid w:val="00BB4187"/>
    <w:rsid w:val="00BE206B"/>
    <w:rsid w:val="00BE2186"/>
    <w:rsid w:val="00BF277A"/>
    <w:rsid w:val="00BF5604"/>
    <w:rsid w:val="00C2270D"/>
    <w:rsid w:val="00C269B5"/>
    <w:rsid w:val="00C42BC7"/>
    <w:rsid w:val="00C550D8"/>
    <w:rsid w:val="00C563BB"/>
    <w:rsid w:val="00C56676"/>
    <w:rsid w:val="00C77427"/>
    <w:rsid w:val="00C97BD9"/>
    <w:rsid w:val="00CA23BD"/>
    <w:rsid w:val="00CB0816"/>
    <w:rsid w:val="00CC005B"/>
    <w:rsid w:val="00CC29C8"/>
    <w:rsid w:val="00CC70C3"/>
    <w:rsid w:val="00CD64C3"/>
    <w:rsid w:val="00CD6EE9"/>
    <w:rsid w:val="00CE05A5"/>
    <w:rsid w:val="00CE0845"/>
    <w:rsid w:val="00CE6D89"/>
    <w:rsid w:val="00D013A0"/>
    <w:rsid w:val="00D01B46"/>
    <w:rsid w:val="00D07F77"/>
    <w:rsid w:val="00D40226"/>
    <w:rsid w:val="00D4621F"/>
    <w:rsid w:val="00D50122"/>
    <w:rsid w:val="00D531D0"/>
    <w:rsid w:val="00D64615"/>
    <w:rsid w:val="00D90529"/>
    <w:rsid w:val="00DA1269"/>
    <w:rsid w:val="00DA7B4D"/>
    <w:rsid w:val="00DB4A8B"/>
    <w:rsid w:val="00DB7EC1"/>
    <w:rsid w:val="00DC43C4"/>
    <w:rsid w:val="00DD0E94"/>
    <w:rsid w:val="00DD3BBF"/>
    <w:rsid w:val="00DE47D1"/>
    <w:rsid w:val="00DF0BF9"/>
    <w:rsid w:val="00DF1501"/>
    <w:rsid w:val="00DF582A"/>
    <w:rsid w:val="00E03472"/>
    <w:rsid w:val="00E14C1F"/>
    <w:rsid w:val="00E204D8"/>
    <w:rsid w:val="00E26753"/>
    <w:rsid w:val="00E27E82"/>
    <w:rsid w:val="00E37D5D"/>
    <w:rsid w:val="00E43E7F"/>
    <w:rsid w:val="00E461ED"/>
    <w:rsid w:val="00E5743B"/>
    <w:rsid w:val="00E67C9F"/>
    <w:rsid w:val="00E77B96"/>
    <w:rsid w:val="00E83D57"/>
    <w:rsid w:val="00E90113"/>
    <w:rsid w:val="00E93847"/>
    <w:rsid w:val="00EA05C0"/>
    <w:rsid w:val="00EA29D6"/>
    <w:rsid w:val="00EB16C4"/>
    <w:rsid w:val="00EB563E"/>
    <w:rsid w:val="00EB5A8B"/>
    <w:rsid w:val="00EB5BDD"/>
    <w:rsid w:val="00ED561A"/>
    <w:rsid w:val="00ED63BF"/>
    <w:rsid w:val="00EE0D2E"/>
    <w:rsid w:val="00EE7269"/>
    <w:rsid w:val="00EF0C58"/>
    <w:rsid w:val="00EF10E7"/>
    <w:rsid w:val="00EF7EEA"/>
    <w:rsid w:val="00F105AF"/>
    <w:rsid w:val="00F353D3"/>
    <w:rsid w:val="00F434AD"/>
    <w:rsid w:val="00F54097"/>
    <w:rsid w:val="00F60789"/>
    <w:rsid w:val="00F75713"/>
    <w:rsid w:val="00F828F8"/>
    <w:rsid w:val="00F94AA8"/>
    <w:rsid w:val="00F96D9D"/>
    <w:rsid w:val="00FB225E"/>
    <w:rsid w:val="00FC26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A4330-EFEE-475D-BF69-7F4FC48F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Title 3"/>
    <w:basedOn w:val="Normal"/>
    <w:next w:val="Normal"/>
    <w:link w:val="Heading3Char"/>
    <w:uiPriority w:val="9"/>
    <w:unhideWhenUsed/>
    <w:qFormat/>
    <w:rsid w:val="002B58C7"/>
    <w:pPr>
      <w:keepNext/>
      <w:keepLines/>
      <w:spacing w:before="200" w:after="0"/>
      <w:outlineLvl w:val="2"/>
    </w:pPr>
    <w:rPr>
      <w:rFonts w:eastAsiaTheme="majorEastAsia" w:cstheme="majorBidi"/>
      <w:bCs/>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D0"/>
    <w:pPr>
      <w:ind w:left="720"/>
      <w:contextualSpacing/>
    </w:pPr>
  </w:style>
  <w:style w:type="character" w:styleId="Hyperlink">
    <w:name w:val="Hyperlink"/>
    <w:basedOn w:val="DefaultParagraphFont"/>
    <w:uiPriority w:val="99"/>
    <w:unhideWhenUsed/>
    <w:rsid w:val="00B0567F"/>
    <w:rPr>
      <w:color w:val="0000FF" w:themeColor="hyperlink"/>
      <w:u w:val="single"/>
    </w:rPr>
  </w:style>
  <w:style w:type="paragraph" w:customStyle="1" w:styleId="Default">
    <w:name w:val="Default"/>
    <w:rsid w:val="00224EA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BE2186"/>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5BDD"/>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C22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0D"/>
    <w:rPr>
      <w:rFonts w:ascii="Segoe UI" w:hAnsi="Segoe UI" w:cs="Segoe UI"/>
      <w:sz w:val="18"/>
      <w:szCs w:val="18"/>
    </w:rPr>
  </w:style>
  <w:style w:type="character" w:customStyle="1" w:styleId="Heading3Char">
    <w:name w:val="Heading 3 Char"/>
    <w:aliases w:val="Title 3 Char"/>
    <w:basedOn w:val="DefaultParagraphFont"/>
    <w:link w:val="Heading3"/>
    <w:uiPriority w:val="9"/>
    <w:rsid w:val="002B58C7"/>
    <w:rPr>
      <w:rFonts w:eastAsiaTheme="majorEastAsia" w:cstheme="majorBidi"/>
      <w:bCs/>
      <w:i/>
      <w:lang w:eastAsia="en-GB"/>
    </w:rPr>
  </w:style>
  <w:style w:type="paragraph" w:styleId="FootnoteText">
    <w:name w:val="footnote text"/>
    <w:basedOn w:val="Normal"/>
    <w:link w:val="FootnoteTextChar"/>
    <w:uiPriority w:val="99"/>
    <w:semiHidden/>
    <w:unhideWhenUsed/>
    <w:rsid w:val="00E37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D5D"/>
    <w:rPr>
      <w:sz w:val="20"/>
      <w:szCs w:val="20"/>
    </w:rPr>
  </w:style>
  <w:style w:type="character" w:styleId="FootnoteReference">
    <w:name w:val="footnote reference"/>
    <w:basedOn w:val="DefaultParagraphFont"/>
    <w:uiPriority w:val="99"/>
    <w:semiHidden/>
    <w:unhideWhenUsed/>
    <w:rsid w:val="00E37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646">
      <w:bodyDiv w:val="1"/>
      <w:marLeft w:val="0"/>
      <w:marRight w:val="0"/>
      <w:marTop w:val="0"/>
      <w:marBottom w:val="0"/>
      <w:divBdr>
        <w:top w:val="none" w:sz="0" w:space="0" w:color="auto"/>
        <w:left w:val="none" w:sz="0" w:space="0" w:color="auto"/>
        <w:bottom w:val="none" w:sz="0" w:space="0" w:color="auto"/>
        <w:right w:val="none" w:sz="0" w:space="0" w:color="auto"/>
      </w:divBdr>
    </w:div>
    <w:div w:id="463350719">
      <w:bodyDiv w:val="1"/>
      <w:marLeft w:val="0"/>
      <w:marRight w:val="0"/>
      <w:marTop w:val="0"/>
      <w:marBottom w:val="0"/>
      <w:divBdr>
        <w:top w:val="none" w:sz="0" w:space="0" w:color="auto"/>
        <w:left w:val="none" w:sz="0" w:space="0" w:color="auto"/>
        <w:bottom w:val="none" w:sz="0" w:space="0" w:color="auto"/>
        <w:right w:val="none" w:sz="0" w:space="0" w:color="auto"/>
      </w:divBdr>
      <w:divsChild>
        <w:div w:id="1231579404">
          <w:marLeft w:val="0"/>
          <w:marRight w:val="0"/>
          <w:marTop w:val="0"/>
          <w:marBottom w:val="0"/>
          <w:divBdr>
            <w:top w:val="none" w:sz="0" w:space="0" w:color="auto"/>
            <w:left w:val="none" w:sz="0" w:space="0" w:color="auto"/>
            <w:bottom w:val="none" w:sz="0" w:space="0" w:color="auto"/>
            <w:right w:val="none" w:sz="0" w:space="0" w:color="auto"/>
          </w:divBdr>
          <w:divsChild>
            <w:div w:id="2120368801">
              <w:marLeft w:val="0"/>
              <w:marRight w:val="0"/>
              <w:marTop w:val="0"/>
              <w:marBottom w:val="0"/>
              <w:divBdr>
                <w:top w:val="none" w:sz="0" w:space="0" w:color="auto"/>
                <w:left w:val="none" w:sz="0" w:space="0" w:color="auto"/>
                <w:bottom w:val="none" w:sz="0" w:space="0" w:color="auto"/>
                <w:right w:val="none" w:sz="0" w:space="0" w:color="auto"/>
              </w:divBdr>
              <w:divsChild>
                <w:div w:id="1658996227">
                  <w:marLeft w:val="0"/>
                  <w:marRight w:val="0"/>
                  <w:marTop w:val="0"/>
                  <w:marBottom w:val="0"/>
                  <w:divBdr>
                    <w:top w:val="none" w:sz="0" w:space="0" w:color="auto"/>
                    <w:left w:val="none" w:sz="0" w:space="0" w:color="auto"/>
                    <w:bottom w:val="none" w:sz="0" w:space="0" w:color="auto"/>
                    <w:right w:val="none" w:sz="0" w:space="0" w:color="auto"/>
                  </w:divBdr>
                  <w:divsChild>
                    <w:div w:id="1758820813">
                      <w:marLeft w:val="0"/>
                      <w:marRight w:val="0"/>
                      <w:marTop w:val="0"/>
                      <w:marBottom w:val="0"/>
                      <w:divBdr>
                        <w:top w:val="none" w:sz="0" w:space="0" w:color="auto"/>
                        <w:left w:val="none" w:sz="0" w:space="0" w:color="auto"/>
                        <w:bottom w:val="none" w:sz="0" w:space="0" w:color="auto"/>
                        <w:right w:val="none" w:sz="0" w:space="0" w:color="auto"/>
                      </w:divBdr>
                      <w:divsChild>
                        <w:div w:id="1972980390">
                          <w:marLeft w:val="0"/>
                          <w:marRight w:val="0"/>
                          <w:marTop w:val="0"/>
                          <w:marBottom w:val="0"/>
                          <w:divBdr>
                            <w:top w:val="none" w:sz="0" w:space="0" w:color="auto"/>
                            <w:left w:val="none" w:sz="0" w:space="0" w:color="auto"/>
                            <w:bottom w:val="none" w:sz="0" w:space="0" w:color="auto"/>
                            <w:right w:val="none" w:sz="0" w:space="0" w:color="auto"/>
                          </w:divBdr>
                          <w:divsChild>
                            <w:div w:id="585924246">
                              <w:marLeft w:val="0"/>
                              <w:marRight w:val="0"/>
                              <w:marTop w:val="0"/>
                              <w:marBottom w:val="0"/>
                              <w:divBdr>
                                <w:top w:val="none" w:sz="0" w:space="0" w:color="auto"/>
                                <w:left w:val="none" w:sz="0" w:space="0" w:color="auto"/>
                                <w:bottom w:val="none" w:sz="0" w:space="0" w:color="auto"/>
                                <w:right w:val="none" w:sz="0" w:space="0" w:color="auto"/>
                              </w:divBdr>
                              <w:divsChild>
                                <w:div w:id="1163199179">
                                  <w:marLeft w:val="0"/>
                                  <w:marRight w:val="0"/>
                                  <w:marTop w:val="0"/>
                                  <w:marBottom w:val="0"/>
                                  <w:divBdr>
                                    <w:top w:val="none" w:sz="0" w:space="0" w:color="auto"/>
                                    <w:left w:val="none" w:sz="0" w:space="0" w:color="auto"/>
                                    <w:bottom w:val="none" w:sz="0" w:space="0" w:color="auto"/>
                                    <w:right w:val="none" w:sz="0" w:space="0" w:color="auto"/>
                                  </w:divBdr>
                                  <w:divsChild>
                                    <w:div w:id="1626304962">
                                      <w:marLeft w:val="0"/>
                                      <w:marRight w:val="0"/>
                                      <w:marTop w:val="0"/>
                                      <w:marBottom w:val="0"/>
                                      <w:divBdr>
                                        <w:top w:val="none" w:sz="0" w:space="0" w:color="auto"/>
                                        <w:left w:val="none" w:sz="0" w:space="0" w:color="auto"/>
                                        <w:bottom w:val="none" w:sz="0" w:space="0" w:color="auto"/>
                                        <w:right w:val="dotted" w:sz="6" w:space="9" w:color="999999"/>
                                      </w:divBdr>
                                      <w:divsChild>
                                        <w:div w:id="2031644385">
                                          <w:marLeft w:val="0"/>
                                          <w:marRight w:val="0"/>
                                          <w:marTop w:val="0"/>
                                          <w:marBottom w:val="0"/>
                                          <w:divBdr>
                                            <w:top w:val="none" w:sz="0" w:space="0" w:color="auto"/>
                                            <w:left w:val="none" w:sz="0" w:space="0" w:color="auto"/>
                                            <w:bottom w:val="none" w:sz="0" w:space="0" w:color="auto"/>
                                            <w:right w:val="none" w:sz="0" w:space="0" w:color="auto"/>
                                          </w:divBdr>
                                          <w:divsChild>
                                            <w:div w:id="282729482">
                                              <w:marLeft w:val="0"/>
                                              <w:marRight w:val="0"/>
                                              <w:marTop w:val="0"/>
                                              <w:marBottom w:val="0"/>
                                              <w:divBdr>
                                                <w:top w:val="none" w:sz="0" w:space="0" w:color="auto"/>
                                                <w:left w:val="none" w:sz="0" w:space="0" w:color="auto"/>
                                                <w:bottom w:val="none" w:sz="0" w:space="0" w:color="auto"/>
                                                <w:right w:val="none" w:sz="0" w:space="0" w:color="auto"/>
                                              </w:divBdr>
                                              <w:divsChild>
                                                <w:div w:id="1977488316">
                                                  <w:marLeft w:val="0"/>
                                                  <w:marRight w:val="0"/>
                                                  <w:marTop w:val="0"/>
                                                  <w:marBottom w:val="600"/>
                                                  <w:divBdr>
                                                    <w:top w:val="none" w:sz="0" w:space="0" w:color="auto"/>
                                                    <w:left w:val="none" w:sz="0" w:space="0" w:color="auto"/>
                                                    <w:bottom w:val="none" w:sz="0" w:space="0" w:color="auto"/>
                                                    <w:right w:val="none" w:sz="0" w:space="0" w:color="auto"/>
                                                  </w:divBdr>
                                                  <w:divsChild>
                                                    <w:div w:id="1269891522">
                                                      <w:marLeft w:val="0"/>
                                                      <w:marRight w:val="0"/>
                                                      <w:marTop w:val="0"/>
                                                      <w:marBottom w:val="0"/>
                                                      <w:divBdr>
                                                        <w:top w:val="none" w:sz="0" w:space="0" w:color="auto"/>
                                                        <w:left w:val="none" w:sz="0" w:space="0" w:color="auto"/>
                                                        <w:bottom w:val="none" w:sz="0" w:space="0" w:color="auto"/>
                                                        <w:right w:val="none" w:sz="0" w:space="0" w:color="auto"/>
                                                      </w:divBdr>
                                                      <w:divsChild>
                                                        <w:div w:id="840316043">
                                                          <w:marLeft w:val="0"/>
                                                          <w:marRight w:val="0"/>
                                                          <w:marTop w:val="0"/>
                                                          <w:marBottom w:val="0"/>
                                                          <w:divBdr>
                                                            <w:top w:val="none" w:sz="0" w:space="0" w:color="auto"/>
                                                            <w:left w:val="none" w:sz="0" w:space="0" w:color="auto"/>
                                                            <w:bottom w:val="none" w:sz="0" w:space="0" w:color="auto"/>
                                                            <w:right w:val="none" w:sz="0" w:space="0" w:color="auto"/>
                                                          </w:divBdr>
                                                          <w:divsChild>
                                                            <w:div w:id="1342664280">
                                                              <w:marLeft w:val="0"/>
                                                              <w:marRight w:val="0"/>
                                                              <w:marTop w:val="0"/>
                                                              <w:marBottom w:val="0"/>
                                                              <w:divBdr>
                                                                <w:top w:val="none" w:sz="0" w:space="0" w:color="auto"/>
                                                                <w:left w:val="none" w:sz="0" w:space="0" w:color="auto"/>
                                                                <w:bottom w:val="none" w:sz="0" w:space="0" w:color="auto"/>
                                                                <w:right w:val="none" w:sz="0" w:space="0" w:color="auto"/>
                                                              </w:divBdr>
                                                            </w:div>
                                                            <w:div w:id="14317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853817">
      <w:bodyDiv w:val="1"/>
      <w:marLeft w:val="0"/>
      <w:marRight w:val="0"/>
      <w:marTop w:val="0"/>
      <w:marBottom w:val="0"/>
      <w:divBdr>
        <w:top w:val="none" w:sz="0" w:space="0" w:color="auto"/>
        <w:left w:val="none" w:sz="0" w:space="0" w:color="auto"/>
        <w:bottom w:val="none" w:sz="0" w:space="0" w:color="auto"/>
        <w:right w:val="none" w:sz="0" w:space="0" w:color="auto"/>
      </w:divBdr>
      <w:divsChild>
        <w:div w:id="1648168395">
          <w:marLeft w:val="0"/>
          <w:marRight w:val="0"/>
          <w:marTop w:val="0"/>
          <w:marBottom w:val="0"/>
          <w:divBdr>
            <w:top w:val="none" w:sz="0" w:space="0" w:color="auto"/>
            <w:left w:val="none" w:sz="0" w:space="0" w:color="auto"/>
            <w:bottom w:val="none" w:sz="0" w:space="0" w:color="auto"/>
            <w:right w:val="none" w:sz="0" w:space="0" w:color="auto"/>
          </w:divBdr>
          <w:divsChild>
            <w:div w:id="351036482">
              <w:marLeft w:val="0"/>
              <w:marRight w:val="0"/>
              <w:marTop w:val="0"/>
              <w:marBottom w:val="0"/>
              <w:divBdr>
                <w:top w:val="none" w:sz="0" w:space="0" w:color="auto"/>
                <w:left w:val="none" w:sz="0" w:space="0" w:color="auto"/>
                <w:bottom w:val="none" w:sz="0" w:space="0" w:color="auto"/>
                <w:right w:val="none" w:sz="0" w:space="0" w:color="auto"/>
              </w:divBdr>
              <w:divsChild>
                <w:div w:id="2117481976">
                  <w:marLeft w:val="0"/>
                  <w:marRight w:val="0"/>
                  <w:marTop w:val="900"/>
                  <w:marBottom w:val="0"/>
                  <w:divBdr>
                    <w:top w:val="none" w:sz="0" w:space="0" w:color="auto"/>
                    <w:left w:val="none" w:sz="0" w:space="0" w:color="auto"/>
                    <w:bottom w:val="none" w:sz="0" w:space="0" w:color="auto"/>
                    <w:right w:val="none" w:sz="0" w:space="0" w:color="auto"/>
                  </w:divBdr>
                  <w:divsChild>
                    <w:div w:id="2043289449">
                      <w:marLeft w:val="0"/>
                      <w:marRight w:val="0"/>
                      <w:marTop w:val="0"/>
                      <w:marBottom w:val="0"/>
                      <w:divBdr>
                        <w:top w:val="none" w:sz="0" w:space="0" w:color="auto"/>
                        <w:left w:val="none" w:sz="0" w:space="0" w:color="auto"/>
                        <w:bottom w:val="none" w:sz="0" w:space="0" w:color="auto"/>
                        <w:right w:val="none" w:sz="0" w:space="0" w:color="auto"/>
                      </w:divBdr>
                      <w:divsChild>
                        <w:div w:id="929045152">
                          <w:marLeft w:val="0"/>
                          <w:marRight w:val="0"/>
                          <w:marTop w:val="0"/>
                          <w:marBottom w:val="0"/>
                          <w:divBdr>
                            <w:top w:val="none" w:sz="0" w:space="0" w:color="auto"/>
                            <w:left w:val="none" w:sz="0" w:space="0" w:color="auto"/>
                            <w:bottom w:val="none" w:sz="0" w:space="0" w:color="auto"/>
                            <w:right w:val="none" w:sz="0" w:space="0" w:color="auto"/>
                          </w:divBdr>
                          <w:divsChild>
                            <w:div w:id="1604801657">
                              <w:marLeft w:val="0"/>
                              <w:marRight w:val="0"/>
                              <w:marTop w:val="225"/>
                              <w:marBottom w:val="225"/>
                              <w:divBdr>
                                <w:top w:val="none" w:sz="0" w:space="0" w:color="auto"/>
                                <w:left w:val="none" w:sz="0" w:space="0" w:color="auto"/>
                                <w:bottom w:val="none" w:sz="0" w:space="0" w:color="auto"/>
                                <w:right w:val="none" w:sz="0" w:space="0" w:color="auto"/>
                              </w:divBdr>
                              <w:divsChild>
                                <w:div w:id="723985004">
                                  <w:marLeft w:val="0"/>
                                  <w:marRight w:val="0"/>
                                  <w:marTop w:val="600"/>
                                  <w:marBottom w:val="0"/>
                                  <w:divBdr>
                                    <w:top w:val="none" w:sz="0" w:space="0" w:color="auto"/>
                                    <w:left w:val="none" w:sz="0" w:space="0" w:color="auto"/>
                                    <w:bottom w:val="none" w:sz="0" w:space="0" w:color="auto"/>
                                    <w:right w:val="none" w:sz="0" w:space="0" w:color="auto"/>
                                  </w:divBdr>
                                  <w:divsChild>
                                    <w:div w:id="723716525">
                                      <w:marLeft w:val="0"/>
                                      <w:marRight w:val="0"/>
                                      <w:marTop w:val="0"/>
                                      <w:marBottom w:val="0"/>
                                      <w:divBdr>
                                        <w:top w:val="none" w:sz="0" w:space="0" w:color="auto"/>
                                        <w:left w:val="none" w:sz="0" w:space="0" w:color="auto"/>
                                        <w:bottom w:val="none" w:sz="0" w:space="0" w:color="auto"/>
                                        <w:right w:val="none" w:sz="0" w:space="0" w:color="auto"/>
                                      </w:divBdr>
                                    </w:div>
                                  </w:divsChild>
                                </w:div>
                                <w:div w:id="1200974474">
                                  <w:marLeft w:val="0"/>
                                  <w:marRight w:val="0"/>
                                  <w:marTop w:val="0"/>
                                  <w:marBottom w:val="0"/>
                                  <w:divBdr>
                                    <w:top w:val="none" w:sz="0" w:space="0" w:color="auto"/>
                                    <w:left w:val="none" w:sz="0" w:space="0" w:color="auto"/>
                                    <w:bottom w:val="none" w:sz="0" w:space="0" w:color="auto"/>
                                    <w:right w:val="none" w:sz="0" w:space="0" w:color="auto"/>
                                  </w:divBdr>
                                  <w:divsChild>
                                    <w:div w:id="6134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390333">
      <w:bodyDiv w:val="1"/>
      <w:marLeft w:val="0"/>
      <w:marRight w:val="0"/>
      <w:marTop w:val="0"/>
      <w:marBottom w:val="0"/>
      <w:divBdr>
        <w:top w:val="none" w:sz="0" w:space="0" w:color="auto"/>
        <w:left w:val="none" w:sz="0" w:space="0" w:color="auto"/>
        <w:bottom w:val="none" w:sz="0" w:space="0" w:color="auto"/>
        <w:right w:val="none" w:sz="0" w:space="0" w:color="auto"/>
      </w:divBdr>
      <w:divsChild>
        <w:div w:id="1921909282">
          <w:marLeft w:val="547"/>
          <w:marRight w:val="0"/>
          <w:marTop w:val="82"/>
          <w:marBottom w:val="0"/>
          <w:divBdr>
            <w:top w:val="none" w:sz="0" w:space="0" w:color="auto"/>
            <w:left w:val="none" w:sz="0" w:space="0" w:color="auto"/>
            <w:bottom w:val="none" w:sz="0" w:space="0" w:color="auto"/>
            <w:right w:val="none" w:sz="0" w:space="0" w:color="auto"/>
          </w:divBdr>
        </w:div>
      </w:divsChild>
    </w:div>
    <w:div w:id="1534999996">
      <w:bodyDiv w:val="1"/>
      <w:marLeft w:val="0"/>
      <w:marRight w:val="0"/>
      <w:marTop w:val="0"/>
      <w:marBottom w:val="0"/>
      <w:divBdr>
        <w:top w:val="none" w:sz="0" w:space="0" w:color="auto"/>
        <w:left w:val="none" w:sz="0" w:space="0" w:color="auto"/>
        <w:bottom w:val="none" w:sz="0" w:space="0" w:color="auto"/>
        <w:right w:val="none" w:sz="0" w:space="0" w:color="auto"/>
      </w:divBdr>
      <w:divsChild>
        <w:div w:id="212348857">
          <w:marLeft w:val="0"/>
          <w:marRight w:val="0"/>
          <w:marTop w:val="0"/>
          <w:marBottom w:val="0"/>
          <w:divBdr>
            <w:top w:val="none" w:sz="0" w:space="0" w:color="auto"/>
            <w:left w:val="none" w:sz="0" w:space="0" w:color="auto"/>
            <w:bottom w:val="none" w:sz="0" w:space="0" w:color="auto"/>
            <w:right w:val="none" w:sz="0" w:space="0" w:color="auto"/>
          </w:divBdr>
          <w:divsChild>
            <w:div w:id="1382752449">
              <w:marLeft w:val="0"/>
              <w:marRight w:val="0"/>
              <w:marTop w:val="0"/>
              <w:marBottom w:val="0"/>
              <w:divBdr>
                <w:top w:val="none" w:sz="0" w:space="0" w:color="auto"/>
                <w:left w:val="none" w:sz="0" w:space="0" w:color="auto"/>
                <w:bottom w:val="none" w:sz="0" w:space="0" w:color="auto"/>
                <w:right w:val="none" w:sz="0" w:space="0" w:color="auto"/>
              </w:divBdr>
              <w:divsChild>
                <w:div w:id="1904363337">
                  <w:marLeft w:val="0"/>
                  <w:marRight w:val="0"/>
                  <w:marTop w:val="0"/>
                  <w:marBottom w:val="0"/>
                  <w:divBdr>
                    <w:top w:val="none" w:sz="0" w:space="0" w:color="auto"/>
                    <w:left w:val="none" w:sz="0" w:space="0" w:color="auto"/>
                    <w:bottom w:val="none" w:sz="0" w:space="0" w:color="auto"/>
                    <w:right w:val="none" w:sz="0" w:space="0" w:color="auto"/>
                  </w:divBdr>
                  <w:divsChild>
                    <w:div w:id="13870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8835">
      <w:bodyDiv w:val="1"/>
      <w:marLeft w:val="0"/>
      <w:marRight w:val="0"/>
      <w:marTop w:val="0"/>
      <w:marBottom w:val="0"/>
      <w:divBdr>
        <w:top w:val="none" w:sz="0" w:space="0" w:color="auto"/>
        <w:left w:val="none" w:sz="0" w:space="0" w:color="auto"/>
        <w:bottom w:val="none" w:sz="0" w:space="0" w:color="auto"/>
        <w:right w:val="none" w:sz="0" w:space="0" w:color="auto"/>
      </w:divBdr>
      <w:divsChild>
        <w:div w:id="1172183361">
          <w:marLeft w:val="0"/>
          <w:marRight w:val="0"/>
          <w:marTop w:val="0"/>
          <w:marBottom w:val="166"/>
          <w:divBdr>
            <w:top w:val="none" w:sz="0" w:space="0" w:color="auto"/>
            <w:left w:val="none" w:sz="0" w:space="0" w:color="auto"/>
            <w:bottom w:val="none" w:sz="0" w:space="0" w:color="auto"/>
            <w:right w:val="none" w:sz="0" w:space="0" w:color="auto"/>
          </w:divBdr>
          <w:divsChild>
            <w:div w:id="402071196">
              <w:marLeft w:val="0"/>
              <w:marRight w:val="0"/>
              <w:marTop w:val="0"/>
              <w:marBottom w:val="0"/>
              <w:divBdr>
                <w:top w:val="none" w:sz="0" w:space="0" w:color="auto"/>
                <w:left w:val="none" w:sz="0" w:space="0" w:color="auto"/>
                <w:bottom w:val="none" w:sz="0" w:space="0" w:color="auto"/>
                <w:right w:val="none" w:sz="0" w:space="0" w:color="auto"/>
              </w:divBdr>
              <w:divsChild>
                <w:div w:id="2102216749">
                  <w:marLeft w:val="0"/>
                  <w:marRight w:val="0"/>
                  <w:marTop w:val="0"/>
                  <w:marBottom w:val="0"/>
                  <w:divBdr>
                    <w:top w:val="none" w:sz="0" w:space="0" w:color="auto"/>
                    <w:left w:val="none" w:sz="0" w:space="0" w:color="auto"/>
                    <w:bottom w:val="none" w:sz="0" w:space="0" w:color="auto"/>
                    <w:right w:val="none" w:sz="0" w:space="0" w:color="auto"/>
                  </w:divBdr>
                  <w:divsChild>
                    <w:div w:id="1461072658">
                      <w:marLeft w:val="0"/>
                      <w:marRight w:val="0"/>
                      <w:marTop w:val="0"/>
                      <w:marBottom w:val="0"/>
                      <w:divBdr>
                        <w:top w:val="none" w:sz="0" w:space="0" w:color="auto"/>
                        <w:left w:val="none" w:sz="0" w:space="0" w:color="auto"/>
                        <w:bottom w:val="none" w:sz="0" w:space="0" w:color="auto"/>
                        <w:right w:val="none" w:sz="0" w:space="0" w:color="auto"/>
                      </w:divBdr>
                    </w:div>
                    <w:div w:id="1660383469">
                      <w:marLeft w:val="0"/>
                      <w:marRight w:val="0"/>
                      <w:marTop w:val="0"/>
                      <w:marBottom w:val="0"/>
                      <w:divBdr>
                        <w:top w:val="none" w:sz="0" w:space="0" w:color="auto"/>
                        <w:left w:val="none" w:sz="0" w:space="0" w:color="auto"/>
                        <w:bottom w:val="none" w:sz="0" w:space="0" w:color="auto"/>
                        <w:right w:val="none" w:sz="0" w:space="0" w:color="auto"/>
                      </w:divBdr>
                    </w:div>
                    <w:div w:id="177014604">
                      <w:marLeft w:val="240"/>
                      <w:marRight w:val="0"/>
                      <w:marTop w:val="0"/>
                      <w:marBottom w:val="0"/>
                      <w:divBdr>
                        <w:top w:val="none" w:sz="0" w:space="0" w:color="auto"/>
                        <w:left w:val="none" w:sz="0" w:space="0" w:color="auto"/>
                        <w:bottom w:val="none" w:sz="0" w:space="0" w:color="auto"/>
                        <w:right w:val="none" w:sz="0" w:space="0" w:color="auto"/>
                      </w:divBdr>
                      <w:divsChild>
                        <w:div w:id="16811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0511">
                  <w:marLeft w:val="0"/>
                  <w:marRight w:val="0"/>
                  <w:marTop w:val="0"/>
                  <w:marBottom w:val="0"/>
                  <w:divBdr>
                    <w:top w:val="none" w:sz="0" w:space="0" w:color="auto"/>
                    <w:left w:val="none" w:sz="0" w:space="0" w:color="auto"/>
                    <w:bottom w:val="none" w:sz="0" w:space="0" w:color="auto"/>
                    <w:right w:val="none" w:sz="0" w:space="0" w:color="auto"/>
                  </w:divBdr>
                  <w:divsChild>
                    <w:div w:id="294216397">
                      <w:marLeft w:val="0"/>
                      <w:marRight w:val="0"/>
                      <w:marTop w:val="0"/>
                      <w:marBottom w:val="0"/>
                      <w:divBdr>
                        <w:top w:val="none" w:sz="0" w:space="0" w:color="auto"/>
                        <w:left w:val="none" w:sz="0" w:space="0" w:color="auto"/>
                        <w:bottom w:val="none" w:sz="0" w:space="0" w:color="auto"/>
                        <w:right w:val="none" w:sz="0" w:space="0" w:color="auto"/>
                      </w:divBdr>
                    </w:div>
                    <w:div w:id="1226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61630">
          <w:marLeft w:val="0"/>
          <w:marRight w:val="0"/>
          <w:marTop w:val="166"/>
          <w:marBottom w:val="166"/>
          <w:divBdr>
            <w:top w:val="none" w:sz="0" w:space="0" w:color="auto"/>
            <w:left w:val="none" w:sz="0" w:space="0" w:color="auto"/>
            <w:bottom w:val="none" w:sz="0" w:space="0" w:color="auto"/>
            <w:right w:val="none" w:sz="0" w:space="0" w:color="auto"/>
          </w:divBdr>
          <w:divsChild>
            <w:div w:id="17502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ouf.momar@chu-amien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vs.santepubliquefrance.fr/Dossiers-thematiques/Maladies-infectieuses/VIH-sida-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des.org/actu/france-6-372-personnes-ont-decouvert-leur-seropositive-au-vih-en-2012-2353.%20Accessed%2017th%20March%202017" TargetMode="External"/><Relationship Id="rId5" Type="http://schemas.openxmlformats.org/officeDocument/2006/relationships/webSettings" Target="webSettings.xml"/><Relationship Id="rId10" Type="http://schemas.openxmlformats.org/officeDocument/2006/relationships/hyperlink" Target="https://www.gov.uk/government/statistics/hiv-data-tables" TargetMode="External"/><Relationship Id="rId4" Type="http://schemas.openxmlformats.org/officeDocument/2006/relationships/settings" Target="settings.xml"/><Relationship Id="rId9" Type="http://schemas.openxmlformats.org/officeDocument/2006/relationships/hyperlink" Target="mailto:schmit.jean-luc@chu-amien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DC6C-08C1-4553-BA65-62A3A4EF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5017CBA0</Template>
  <TotalTime>1</TotalTime>
  <Pages>16</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sm369</dc:creator>
  <cp:lastModifiedBy>Cox, Rosemary (rosemary.cox@canterbury.ac.uk)</cp:lastModifiedBy>
  <cp:revision>2</cp:revision>
  <cp:lastPrinted>2017-05-16T14:47:00Z</cp:lastPrinted>
  <dcterms:created xsi:type="dcterms:W3CDTF">2017-10-17T12:06:00Z</dcterms:created>
  <dcterms:modified xsi:type="dcterms:W3CDTF">2017-10-17T12:06:00Z</dcterms:modified>
</cp:coreProperties>
</file>