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A3" w:rsidRPr="00AA04E4" w:rsidRDefault="00E91294" w:rsidP="00096AD9">
      <w:pPr>
        <w:pStyle w:val="Head1NoContents"/>
      </w:pPr>
      <w:bookmarkStart w:id="0" w:name="OLE_LINK1"/>
      <w:bookmarkStart w:id="1" w:name="OLE_LINK2"/>
      <w:r>
        <w:t>Efficacy of Turnitin in Support of an Institutional Plagiarism Policy.</w:t>
      </w:r>
    </w:p>
    <w:p w:rsidR="001404F9" w:rsidRPr="00096AD9" w:rsidRDefault="001404F9" w:rsidP="00096AD9">
      <w:pPr>
        <w:pStyle w:val="Head1NoContents"/>
        <w:rPr>
          <w:sz w:val="32"/>
        </w:rPr>
      </w:pPr>
      <w:r w:rsidRPr="00096AD9">
        <w:rPr>
          <w:sz w:val="32"/>
        </w:rPr>
        <w:t xml:space="preserve">A report </w:t>
      </w:r>
      <w:r w:rsidR="00204D21" w:rsidRPr="00096AD9">
        <w:rPr>
          <w:sz w:val="32"/>
        </w:rPr>
        <w:t>for plagiarismadvice.org</w:t>
      </w:r>
      <w:r w:rsidR="00204D21">
        <w:rPr>
          <w:sz w:val="32"/>
        </w:rPr>
        <w:t xml:space="preserve"> on research conducted at Canterbury Christ Church University.</w:t>
      </w:r>
    </w:p>
    <w:bookmarkEnd w:id="0"/>
    <w:bookmarkEnd w:id="1"/>
    <w:p w:rsidR="001404F9" w:rsidRPr="00802903" w:rsidRDefault="00802903" w:rsidP="00802903">
      <w:pPr>
        <w:pStyle w:val="Heading3"/>
        <w:spacing w:before="480"/>
      </w:pPr>
      <w:r>
        <w:t>Simon Starr</w:t>
      </w:r>
    </w:p>
    <w:p w:rsidR="001404F9" w:rsidRDefault="0014155A" w:rsidP="0072740F">
      <w:pPr>
        <w:pStyle w:val="Heading3"/>
        <w:spacing w:before="60"/>
      </w:pPr>
      <w:r>
        <w:t>Learning Technologist</w:t>
      </w:r>
      <w:r>
        <w:br/>
        <w:t xml:space="preserve">Learning and Teaching Enhancement Unit, </w:t>
      </w:r>
      <w:r w:rsidR="001404F9" w:rsidRPr="00802903">
        <w:t>Canterbury Christ Church University</w:t>
      </w:r>
    </w:p>
    <w:p w:rsidR="00287CDF" w:rsidRDefault="00287CDF" w:rsidP="00287CDF">
      <w:pPr>
        <w:pStyle w:val="Heading3"/>
      </w:pPr>
      <w:r>
        <w:t>Lynne Graham Matheson</w:t>
      </w:r>
    </w:p>
    <w:p w:rsidR="00287CDF" w:rsidRPr="00287CDF" w:rsidRDefault="0014155A" w:rsidP="0072740F">
      <w:pPr>
        <w:pStyle w:val="Heading3"/>
        <w:spacing w:before="60"/>
      </w:pPr>
      <w:r>
        <w:t>Principal Research Fellow</w:t>
      </w:r>
      <w:r>
        <w:br/>
      </w:r>
      <w:r w:rsidR="00287CDF">
        <w:t>Faculty of Education, Canterbury Christ Church University</w:t>
      </w:r>
    </w:p>
    <w:p w:rsidR="001404F9" w:rsidRDefault="001404F9" w:rsidP="00802903">
      <w:pPr>
        <w:pStyle w:val="Heading3"/>
      </w:pPr>
      <w:r w:rsidRPr="00802903">
        <w:t>May 2011</w:t>
      </w:r>
    </w:p>
    <w:p w:rsidR="00096AD9" w:rsidRPr="00096AD9" w:rsidRDefault="00096AD9" w:rsidP="00096AD9"/>
    <w:p w:rsidR="000D410C" w:rsidRDefault="000D410C">
      <w:pPr>
        <w:spacing w:before="0" w:after="200"/>
        <w:rPr>
          <w:rFonts w:asciiTheme="majorHAnsi" w:eastAsiaTheme="majorEastAsia" w:hAnsiTheme="majorHAnsi" w:cstheme="majorBidi"/>
          <w:b/>
          <w:bCs/>
          <w:color w:val="365F91" w:themeColor="accent1" w:themeShade="BF"/>
          <w:sz w:val="28"/>
          <w:szCs w:val="28"/>
        </w:rPr>
      </w:pPr>
      <w:r>
        <w:br w:type="page"/>
      </w:r>
    </w:p>
    <w:p w:rsidR="00096AD9" w:rsidRPr="00096AD9" w:rsidRDefault="00096AD9" w:rsidP="00754C77">
      <w:pPr>
        <w:pStyle w:val="Head1NoContents"/>
        <w:spacing w:after="480"/>
        <w:rPr>
          <w:sz w:val="28"/>
        </w:rPr>
      </w:pPr>
      <w:r w:rsidRPr="00096AD9">
        <w:rPr>
          <w:sz w:val="28"/>
        </w:rPr>
        <w:lastRenderedPageBreak/>
        <w:t>Contents</w:t>
      </w:r>
    </w:p>
    <w:p w:rsidR="00903B6D" w:rsidRDefault="00626114">
      <w:pPr>
        <w:pStyle w:val="TOC1"/>
        <w:tabs>
          <w:tab w:val="right" w:leader="dot" w:pos="9016"/>
        </w:tabs>
        <w:rPr>
          <w:rFonts w:eastAsiaTheme="minorEastAsia"/>
          <w:noProof/>
          <w:lang w:eastAsia="en-GB"/>
        </w:rPr>
      </w:pPr>
      <w:r>
        <w:fldChar w:fldCharType="begin"/>
      </w:r>
      <w:r w:rsidR="00754C77">
        <w:instrText xml:space="preserve"> TOC \o "1-2" \h \z \u </w:instrText>
      </w:r>
      <w:r>
        <w:fldChar w:fldCharType="separate"/>
      </w:r>
      <w:hyperlink w:anchor="_Toc294165543" w:history="1">
        <w:r w:rsidR="00903B6D" w:rsidRPr="00E65A8A">
          <w:rPr>
            <w:rStyle w:val="Hyperlink"/>
            <w:noProof/>
          </w:rPr>
          <w:t>Executive Summary</w:t>
        </w:r>
        <w:r w:rsidR="00903B6D">
          <w:rPr>
            <w:noProof/>
            <w:webHidden/>
          </w:rPr>
          <w:tab/>
        </w:r>
        <w:r>
          <w:rPr>
            <w:noProof/>
            <w:webHidden/>
          </w:rPr>
          <w:fldChar w:fldCharType="begin"/>
        </w:r>
        <w:r w:rsidR="00903B6D">
          <w:rPr>
            <w:noProof/>
            <w:webHidden/>
          </w:rPr>
          <w:instrText xml:space="preserve"> PAGEREF _Toc294165543 \h </w:instrText>
        </w:r>
        <w:r>
          <w:rPr>
            <w:noProof/>
            <w:webHidden/>
          </w:rPr>
        </w:r>
        <w:r>
          <w:rPr>
            <w:noProof/>
            <w:webHidden/>
          </w:rPr>
          <w:fldChar w:fldCharType="separate"/>
        </w:r>
        <w:r w:rsidR="00115B8D">
          <w:rPr>
            <w:noProof/>
            <w:webHidden/>
          </w:rPr>
          <w:t>3</w:t>
        </w:r>
        <w:r>
          <w:rPr>
            <w:noProof/>
            <w:webHidden/>
          </w:rPr>
          <w:fldChar w:fldCharType="end"/>
        </w:r>
      </w:hyperlink>
    </w:p>
    <w:p w:rsidR="00903B6D" w:rsidRDefault="00626114">
      <w:pPr>
        <w:pStyle w:val="TOC1"/>
        <w:tabs>
          <w:tab w:val="right" w:leader="dot" w:pos="9016"/>
        </w:tabs>
        <w:rPr>
          <w:rFonts w:eastAsiaTheme="minorEastAsia"/>
          <w:noProof/>
          <w:lang w:eastAsia="en-GB"/>
        </w:rPr>
      </w:pPr>
      <w:hyperlink w:anchor="_Toc294165544" w:history="1">
        <w:r w:rsidR="00903B6D" w:rsidRPr="00E65A8A">
          <w:rPr>
            <w:rStyle w:val="Hyperlink"/>
            <w:noProof/>
          </w:rPr>
          <w:t>Introduction</w:t>
        </w:r>
        <w:r w:rsidR="00903B6D">
          <w:rPr>
            <w:noProof/>
            <w:webHidden/>
          </w:rPr>
          <w:tab/>
        </w:r>
        <w:r>
          <w:rPr>
            <w:noProof/>
            <w:webHidden/>
          </w:rPr>
          <w:fldChar w:fldCharType="begin"/>
        </w:r>
        <w:r w:rsidR="00903B6D">
          <w:rPr>
            <w:noProof/>
            <w:webHidden/>
          </w:rPr>
          <w:instrText xml:space="preserve"> PAGEREF _Toc294165544 \h </w:instrText>
        </w:r>
        <w:r>
          <w:rPr>
            <w:noProof/>
            <w:webHidden/>
          </w:rPr>
        </w:r>
        <w:r>
          <w:rPr>
            <w:noProof/>
            <w:webHidden/>
          </w:rPr>
          <w:fldChar w:fldCharType="separate"/>
        </w:r>
        <w:r w:rsidR="00115B8D">
          <w:rPr>
            <w:noProof/>
            <w:webHidden/>
          </w:rPr>
          <w:t>4</w:t>
        </w:r>
        <w:r>
          <w:rPr>
            <w:noProof/>
            <w:webHidden/>
          </w:rPr>
          <w:fldChar w:fldCharType="end"/>
        </w:r>
      </w:hyperlink>
    </w:p>
    <w:p w:rsidR="00903B6D" w:rsidRDefault="00626114">
      <w:pPr>
        <w:pStyle w:val="TOC1"/>
        <w:tabs>
          <w:tab w:val="right" w:leader="dot" w:pos="9016"/>
        </w:tabs>
        <w:rPr>
          <w:rFonts w:eastAsiaTheme="minorEastAsia"/>
          <w:noProof/>
          <w:lang w:eastAsia="en-GB"/>
        </w:rPr>
      </w:pPr>
      <w:hyperlink w:anchor="_Toc294165545" w:history="1">
        <w:r w:rsidR="00903B6D" w:rsidRPr="00E65A8A">
          <w:rPr>
            <w:rStyle w:val="Hyperlink"/>
            <w:noProof/>
          </w:rPr>
          <w:t>Method</w:t>
        </w:r>
        <w:r w:rsidR="00903B6D">
          <w:rPr>
            <w:noProof/>
            <w:webHidden/>
          </w:rPr>
          <w:tab/>
        </w:r>
        <w:r>
          <w:rPr>
            <w:noProof/>
            <w:webHidden/>
          </w:rPr>
          <w:fldChar w:fldCharType="begin"/>
        </w:r>
        <w:r w:rsidR="00903B6D">
          <w:rPr>
            <w:noProof/>
            <w:webHidden/>
          </w:rPr>
          <w:instrText xml:space="preserve"> PAGEREF _Toc294165545 \h </w:instrText>
        </w:r>
        <w:r>
          <w:rPr>
            <w:noProof/>
            <w:webHidden/>
          </w:rPr>
        </w:r>
        <w:r>
          <w:rPr>
            <w:noProof/>
            <w:webHidden/>
          </w:rPr>
          <w:fldChar w:fldCharType="separate"/>
        </w:r>
        <w:r w:rsidR="00115B8D">
          <w:rPr>
            <w:noProof/>
            <w:webHidden/>
          </w:rPr>
          <w:t>5</w:t>
        </w:r>
        <w:r>
          <w:rPr>
            <w:noProof/>
            <w:webHidden/>
          </w:rPr>
          <w:fldChar w:fldCharType="end"/>
        </w:r>
      </w:hyperlink>
    </w:p>
    <w:p w:rsidR="00903B6D" w:rsidRDefault="00626114">
      <w:pPr>
        <w:pStyle w:val="TOC1"/>
        <w:tabs>
          <w:tab w:val="right" w:leader="dot" w:pos="9016"/>
        </w:tabs>
        <w:rPr>
          <w:rFonts w:eastAsiaTheme="minorEastAsia"/>
          <w:noProof/>
          <w:lang w:eastAsia="en-GB"/>
        </w:rPr>
      </w:pPr>
      <w:hyperlink w:anchor="_Toc294165546" w:history="1">
        <w:r w:rsidR="00903B6D" w:rsidRPr="00E65A8A">
          <w:rPr>
            <w:rStyle w:val="Hyperlink"/>
            <w:noProof/>
          </w:rPr>
          <w:t>Findings</w:t>
        </w:r>
        <w:r w:rsidR="00903B6D">
          <w:rPr>
            <w:noProof/>
            <w:webHidden/>
          </w:rPr>
          <w:tab/>
        </w:r>
        <w:r>
          <w:rPr>
            <w:noProof/>
            <w:webHidden/>
          </w:rPr>
          <w:fldChar w:fldCharType="begin"/>
        </w:r>
        <w:r w:rsidR="00903B6D">
          <w:rPr>
            <w:noProof/>
            <w:webHidden/>
          </w:rPr>
          <w:instrText xml:space="preserve"> PAGEREF _Toc294165546 \h </w:instrText>
        </w:r>
        <w:r>
          <w:rPr>
            <w:noProof/>
            <w:webHidden/>
          </w:rPr>
        </w:r>
        <w:r>
          <w:rPr>
            <w:noProof/>
            <w:webHidden/>
          </w:rPr>
          <w:fldChar w:fldCharType="separate"/>
        </w:r>
        <w:r w:rsidR="00115B8D">
          <w:rPr>
            <w:noProof/>
            <w:webHidden/>
          </w:rPr>
          <w:t>6</w:t>
        </w:r>
        <w:r>
          <w:rPr>
            <w:noProof/>
            <w:webHidden/>
          </w:rPr>
          <w:fldChar w:fldCharType="end"/>
        </w:r>
      </w:hyperlink>
    </w:p>
    <w:p w:rsidR="00903B6D" w:rsidRDefault="00626114">
      <w:pPr>
        <w:pStyle w:val="TOC1"/>
        <w:tabs>
          <w:tab w:val="right" w:leader="dot" w:pos="9016"/>
        </w:tabs>
        <w:rPr>
          <w:rFonts w:eastAsiaTheme="minorEastAsia"/>
          <w:noProof/>
          <w:lang w:eastAsia="en-GB"/>
        </w:rPr>
      </w:pPr>
      <w:hyperlink w:anchor="_Toc294165547" w:history="1">
        <w:r w:rsidR="00903B6D" w:rsidRPr="00E65A8A">
          <w:rPr>
            <w:rStyle w:val="Hyperlink"/>
            <w:noProof/>
          </w:rPr>
          <w:t>Conclusions</w:t>
        </w:r>
        <w:r w:rsidR="00903B6D">
          <w:rPr>
            <w:noProof/>
            <w:webHidden/>
          </w:rPr>
          <w:tab/>
        </w:r>
        <w:r>
          <w:rPr>
            <w:noProof/>
            <w:webHidden/>
          </w:rPr>
          <w:fldChar w:fldCharType="begin"/>
        </w:r>
        <w:r w:rsidR="00903B6D">
          <w:rPr>
            <w:noProof/>
            <w:webHidden/>
          </w:rPr>
          <w:instrText xml:space="preserve"> PAGEREF _Toc294165547 \h </w:instrText>
        </w:r>
        <w:r>
          <w:rPr>
            <w:noProof/>
            <w:webHidden/>
          </w:rPr>
        </w:r>
        <w:r>
          <w:rPr>
            <w:noProof/>
            <w:webHidden/>
          </w:rPr>
          <w:fldChar w:fldCharType="separate"/>
        </w:r>
        <w:r w:rsidR="00115B8D">
          <w:rPr>
            <w:noProof/>
            <w:webHidden/>
          </w:rPr>
          <w:t>10</w:t>
        </w:r>
        <w:r>
          <w:rPr>
            <w:noProof/>
            <w:webHidden/>
          </w:rPr>
          <w:fldChar w:fldCharType="end"/>
        </w:r>
      </w:hyperlink>
    </w:p>
    <w:p w:rsidR="00903B6D" w:rsidRDefault="00626114">
      <w:pPr>
        <w:pStyle w:val="TOC1"/>
        <w:tabs>
          <w:tab w:val="right" w:leader="dot" w:pos="9016"/>
        </w:tabs>
        <w:rPr>
          <w:rFonts w:eastAsiaTheme="minorEastAsia"/>
          <w:noProof/>
          <w:lang w:eastAsia="en-GB"/>
        </w:rPr>
      </w:pPr>
      <w:hyperlink w:anchor="_Toc294165548" w:history="1">
        <w:r w:rsidR="00903B6D" w:rsidRPr="00E65A8A">
          <w:rPr>
            <w:rStyle w:val="Hyperlink"/>
            <w:noProof/>
          </w:rPr>
          <w:t>Recommendations</w:t>
        </w:r>
        <w:r w:rsidR="00903B6D">
          <w:rPr>
            <w:noProof/>
            <w:webHidden/>
          </w:rPr>
          <w:tab/>
        </w:r>
        <w:r>
          <w:rPr>
            <w:noProof/>
            <w:webHidden/>
          </w:rPr>
          <w:fldChar w:fldCharType="begin"/>
        </w:r>
        <w:r w:rsidR="00903B6D">
          <w:rPr>
            <w:noProof/>
            <w:webHidden/>
          </w:rPr>
          <w:instrText xml:space="preserve"> PAGEREF _Toc294165548 \h </w:instrText>
        </w:r>
        <w:r>
          <w:rPr>
            <w:noProof/>
            <w:webHidden/>
          </w:rPr>
        </w:r>
        <w:r>
          <w:rPr>
            <w:noProof/>
            <w:webHidden/>
          </w:rPr>
          <w:fldChar w:fldCharType="separate"/>
        </w:r>
        <w:r w:rsidR="00115B8D">
          <w:rPr>
            <w:noProof/>
            <w:webHidden/>
          </w:rPr>
          <w:t>11</w:t>
        </w:r>
        <w:r>
          <w:rPr>
            <w:noProof/>
            <w:webHidden/>
          </w:rPr>
          <w:fldChar w:fldCharType="end"/>
        </w:r>
      </w:hyperlink>
    </w:p>
    <w:p w:rsidR="00903B6D" w:rsidRDefault="00626114">
      <w:pPr>
        <w:pStyle w:val="TOC1"/>
        <w:tabs>
          <w:tab w:val="right" w:leader="dot" w:pos="9016"/>
        </w:tabs>
        <w:rPr>
          <w:rFonts w:eastAsiaTheme="minorEastAsia"/>
          <w:noProof/>
          <w:lang w:eastAsia="en-GB"/>
        </w:rPr>
      </w:pPr>
      <w:hyperlink w:anchor="_Toc294165549" w:history="1">
        <w:r w:rsidR="00903B6D" w:rsidRPr="00E65A8A">
          <w:rPr>
            <w:rStyle w:val="Hyperlink"/>
            <w:noProof/>
          </w:rPr>
          <w:t>Progress</w:t>
        </w:r>
        <w:r w:rsidR="00903B6D">
          <w:rPr>
            <w:noProof/>
            <w:webHidden/>
          </w:rPr>
          <w:tab/>
        </w:r>
        <w:r>
          <w:rPr>
            <w:noProof/>
            <w:webHidden/>
          </w:rPr>
          <w:fldChar w:fldCharType="begin"/>
        </w:r>
        <w:r w:rsidR="00903B6D">
          <w:rPr>
            <w:noProof/>
            <w:webHidden/>
          </w:rPr>
          <w:instrText xml:space="preserve"> PAGEREF _Toc294165549 \h </w:instrText>
        </w:r>
        <w:r>
          <w:rPr>
            <w:noProof/>
            <w:webHidden/>
          </w:rPr>
        </w:r>
        <w:r>
          <w:rPr>
            <w:noProof/>
            <w:webHidden/>
          </w:rPr>
          <w:fldChar w:fldCharType="separate"/>
        </w:r>
        <w:r w:rsidR="00115B8D">
          <w:rPr>
            <w:noProof/>
            <w:webHidden/>
          </w:rPr>
          <w:t>12</w:t>
        </w:r>
        <w:r>
          <w:rPr>
            <w:noProof/>
            <w:webHidden/>
          </w:rPr>
          <w:fldChar w:fldCharType="end"/>
        </w:r>
      </w:hyperlink>
    </w:p>
    <w:p w:rsidR="00903B6D" w:rsidRDefault="00626114">
      <w:pPr>
        <w:pStyle w:val="TOC1"/>
        <w:tabs>
          <w:tab w:val="right" w:leader="dot" w:pos="9016"/>
        </w:tabs>
        <w:rPr>
          <w:rFonts w:eastAsiaTheme="minorEastAsia"/>
          <w:noProof/>
          <w:lang w:eastAsia="en-GB"/>
        </w:rPr>
      </w:pPr>
      <w:hyperlink w:anchor="_Toc294165550" w:history="1">
        <w:r w:rsidR="00903B6D" w:rsidRPr="00E65A8A">
          <w:rPr>
            <w:rStyle w:val="Hyperlink"/>
            <w:noProof/>
          </w:rPr>
          <w:t>References</w:t>
        </w:r>
        <w:r w:rsidR="00903B6D">
          <w:rPr>
            <w:noProof/>
            <w:webHidden/>
          </w:rPr>
          <w:tab/>
        </w:r>
        <w:r>
          <w:rPr>
            <w:noProof/>
            <w:webHidden/>
          </w:rPr>
          <w:fldChar w:fldCharType="begin"/>
        </w:r>
        <w:r w:rsidR="00903B6D">
          <w:rPr>
            <w:noProof/>
            <w:webHidden/>
          </w:rPr>
          <w:instrText xml:space="preserve"> PAGEREF _Toc294165550 \h </w:instrText>
        </w:r>
        <w:r>
          <w:rPr>
            <w:noProof/>
            <w:webHidden/>
          </w:rPr>
        </w:r>
        <w:r>
          <w:rPr>
            <w:noProof/>
            <w:webHidden/>
          </w:rPr>
          <w:fldChar w:fldCharType="separate"/>
        </w:r>
        <w:r w:rsidR="00115B8D">
          <w:rPr>
            <w:noProof/>
            <w:webHidden/>
          </w:rPr>
          <w:t>13</w:t>
        </w:r>
        <w:r>
          <w:rPr>
            <w:noProof/>
            <w:webHidden/>
          </w:rPr>
          <w:fldChar w:fldCharType="end"/>
        </w:r>
      </w:hyperlink>
    </w:p>
    <w:p w:rsidR="00096AD9" w:rsidRDefault="00626114">
      <w:pPr>
        <w:spacing w:before="0" w:after="200"/>
      </w:pPr>
      <w:r>
        <w:fldChar w:fldCharType="end"/>
      </w:r>
    </w:p>
    <w:p w:rsidR="00096AD9" w:rsidRDefault="00096AD9">
      <w:pPr>
        <w:spacing w:before="0" w:after="200"/>
      </w:pPr>
    </w:p>
    <w:p w:rsidR="00096AD9" w:rsidRDefault="00096AD9">
      <w:pPr>
        <w:spacing w:before="0" w:after="200"/>
        <w:sectPr w:rsidR="00096AD9" w:rsidSect="008946A3">
          <w:footerReference w:type="default" r:id="rId8"/>
          <w:pgSz w:w="11906" w:h="16838"/>
          <w:pgMar w:top="1440" w:right="1440" w:bottom="1440" w:left="1440" w:header="708" w:footer="708" w:gutter="0"/>
          <w:cols w:space="708"/>
          <w:docGrid w:linePitch="360"/>
        </w:sectPr>
      </w:pPr>
    </w:p>
    <w:p w:rsidR="005C22DA" w:rsidRDefault="005C22DA" w:rsidP="005C22DA">
      <w:pPr>
        <w:pStyle w:val="Heading1"/>
      </w:pPr>
      <w:bookmarkStart w:id="2" w:name="_Toc293559125"/>
      <w:bookmarkStart w:id="3" w:name="_Toc294165543"/>
      <w:r>
        <w:lastRenderedPageBreak/>
        <w:t>Executive Summary</w:t>
      </w:r>
      <w:bookmarkEnd w:id="2"/>
      <w:bookmarkEnd w:id="3"/>
    </w:p>
    <w:p w:rsidR="006933A7" w:rsidRPr="002A3C11" w:rsidRDefault="009C6FEB" w:rsidP="006933A7">
      <w:pPr>
        <w:rPr>
          <w:b/>
        </w:rPr>
      </w:pPr>
      <w:r w:rsidRPr="002A3C11">
        <w:rPr>
          <w:b/>
        </w:rPr>
        <w:t>Introduction</w:t>
      </w:r>
    </w:p>
    <w:p w:rsidR="00753338" w:rsidRDefault="00753338" w:rsidP="006933A7">
      <w:r>
        <w:t>Our plagiarism policy commits to an educate-first, detect-and-</w:t>
      </w:r>
      <w:r w:rsidRPr="00AC4335">
        <w:t>punish</w:t>
      </w:r>
      <w:r>
        <w:t xml:space="preserve"> second</w:t>
      </w:r>
      <w:r w:rsidRPr="00AC4335">
        <w:t xml:space="preserve">, approach.  </w:t>
      </w:r>
      <w:r>
        <w:t>The policy allows Turnitin to be used at the discretion of module</w:t>
      </w:r>
      <w:r w:rsidR="00DC230A">
        <w:t xml:space="preserve"> and programme leaders</w:t>
      </w:r>
      <w:r>
        <w:t xml:space="preserve"> but sets </w:t>
      </w:r>
      <w:r w:rsidR="008E4D4D">
        <w:t xml:space="preserve">out </w:t>
      </w:r>
      <w:r>
        <w:t xml:space="preserve">minimum requirements for use designed to encourage this </w:t>
      </w:r>
      <w:r w:rsidR="00A36575">
        <w:t xml:space="preserve">educational </w:t>
      </w:r>
      <w:r>
        <w:t>approach.</w:t>
      </w:r>
    </w:p>
    <w:p w:rsidR="009C6FEB" w:rsidRDefault="00753338" w:rsidP="006933A7">
      <w:r>
        <w:t>D</w:t>
      </w:r>
      <w:r w:rsidR="000D410C">
        <w:t xml:space="preserve">uring academic year </w:t>
      </w:r>
      <w:r w:rsidR="002A3C11">
        <w:t xml:space="preserve">2010/11 students and teaching staff were surveyed on their understanding, perceptions and experiences of Turnitin with the aim of investigating its efficacy in support of the </w:t>
      </w:r>
      <w:r w:rsidR="000D410C">
        <w:t>p</w:t>
      </w:r>
      <w:r w:rsidR="002A3C11">
        <w:t xml:space="preserve">lagiarism </w:t>
      </w:r>
      <w:r w:rsidR="000D410C">
        <w:t>p</w:t>
      </w:r>
      <w:r w:rsidR="002A3C11">
        <w:t>olicy</w:t>
      </w:r>
      <w:r w:rsidR="000D410C">
        <w:t>.</w:t>
      </w:r>
      <w:r>
        <w:t xml:space="preserve">  </w:t>
      </w:r>
      <w:r w:rsidR="002A3C11">
        <w:t xml:space="preserve">367 students responded, of which </w:t>
      </w:r>
      <w:r w:rsidR="000D410C">
        <w:t xml:space="preserve">166 </w:t>
      </w:r>
      <w:r w:rsidR="002A3C11">
        <w:t xml:space="preserve">had used Turnitin.  62 staff responded, of which </w:t>
      </w:r>
      <w:r w:rsidR="000D410C">
        <w:t xml:space="preserve">39 had used Turnitin.  </w:t>
      </w:r>
      <w:r w:rsidR="002A3C11">
        <w:t xml:space="preserve">34 students responded to a follow-up e-mail ‘interview’ using an extended questionnaire, of which 21 had used Turnitin.  26 staff were interviewed, of which 15 were teaching staff and the others in various related academic and professional service roles.  </w:t>
      </w:r>
    </w:p>
    <w:p w:rsidR="009C6FEB" w:rsidRPr="002A3C11" w:rsidRDefault="009C6FEB" w:rsidP="006933A7">
      <w:pPr>
        <w:rPr>
          <w:b/>
        </w:rPr>
      </w:pPr>
      <w:r w:rsidRPr="002A3C11">
        <w:rPr>
          <w:b/>
        </w:rPr>
        <w:t>Findings</w:t>
      </w:r>
    </w:p>
    <w:p w:rsidR="000D410C" w:rsidRPr="000D410C" w:rsidRDefault="000D410C" w:rsidP="00720038">
      <w:pPr>
        <w:numPr>
          <w:ilvl w:val="0"/>
          <w:numId w:val="13"/>
        </w:numPr>
        <w:spacing w:before="60"/>
      </w:pPr>
      <w:r w:rsidRPr="000D410C">
        <w:t xml:space="preserve">Turnitin is </w:t>
      </w:r>
      <w:r>
        <w:t xml:space="preserve">widely </w:t>
      </w:r>
      <w:r w:rsidRPr="000D410C">
        <w:t xml:space="preserve">used for </w:t>
      </w:r>
      <w:r>
        <w:t>o</w:t>
      </w:r>
      <w:r w:rsidRPr="000D410C">
        <w:t xml:space="preserve">riginality </w:t>
      </w:r>
      <w:r>
        <w:t>c</w:t>
      </w:r>
      <w:r w:rsidR="00A36575">
        <w:t>hecking</w:t>
      </w:r>
      <w:r w:rsidR="008E4D4D">
        <w:t>; a third or more of our students now use it</w:t>
      </w:r>
    </w:p>
    <w:p w:rsidR="00A36575" w:rsidRDefault="00A36575" w:rsidP="00720038">
      <w:pPr>
        <w:numPr>
          <w:ilvl w:val="0"/>
          <w:numId w:val="13"/>
        </w:numPr>
        <w:spacing w:before="60"/>
        <w:ind w:hanging="357"/>
      </w:pPr>
      <w:r>
        <w:t xml:space="preserve">The majority of staff and students </w:t>
      </w:r>
      <w:r w:rsidRPr="000D410C">
        <w:t xml:space="preserve">fully understand </w:t>
      </w:r>
      <w:r w:rsidR="00A53294">
        <w:t xml:space="preserve">the </w:t>
      </w:r>
      <w:r w:rsidRPr="000D410C">
        <w:t xml:space="preserve">University’s approach </w:t>
      </w:r>
      <w:r w:rsidR="00DC230A">
        <w:t xml:space="preserve">to </w:t>
      </w:r>
      <w:r w:rsidRPr="000D410C">
        <w:t>Turnitin</w:t>
      </w:r>
    </w:p>
    <w:p w:rsidR="000D410C" w:rsidRPr="000D410C" w:rsidRDefault="000D410C" w:rsidP="00720038">
      <w:pPr>
        <w:numPr>
          <w:ilvl w:val="0"/>
          <w:numId w:val="13"/>
        </w:numPr>
        <w:spacing w:before="60"/>
        <w:ind w:hanging="357"/>
      </w:pPr>
      <w:r>
        <w:t>Policy relating to Tu</w:t>
      </w:r>
      <w:r w:rsidR="00A36575">
        <w:t xml:space="preserve">rnitin is being implemented; </w:t>
      </w:r>
      <w:r>
        <w:t>m</w:t>
      </w:r>
      <w:r w:rsidR="00A36575">
        <w:t xml:space="preserve">inimum requirements for use </w:t>
      </w:r>
      <w:r w:rsidR="00A53294">
        <w:t xml:space="preserve">are </w:t>
      </w:r>
      <w:r w:rsidR="00A36575">
        <w:t>met</w:t>
      </w:r>
    </w:p>
    <w:p w:rsidR="00A36575" w:rsidRDefault="008E4D4D" w:rsidP="00720038">
      <w:pPr>
        <w:numPr>
          <w:ilvl w:val="0"/>
          <w:numId w:val="13"/>
        </w:numPr>
        <w:spacing w:before="60"/>
        <w:ind w:hanging="357"/>
      </w:pPr>
      <w:r>
        <w:t xml:space="preserve">It appears </w:t>
      </w:r>
      <w:r w:rsidR="00A53294">
        <w:t>Turnitin c</w:t>
      </w:r>
      <w:r w:rsidR="00A36575" w:rsidRPr="000D410C">
        <w:t xml:space="preserve">ontributes to </w:t>
      </w:r>
      <w:r w:rsidR="00A53294">
        <w:t xml:space="preserve">a </w:t>
      </w:r>
      <w:r w:rsidR="00A36575" w:rsidRPr="000D410C">
        <w:t>significant minority of alleged cases of plagiarism</w:t>
      </w:r>
    </w:p>
    <w:p w:rsidR="00A36575" w:rsidRPr="000D410C" w:rsidRDefault="008E4D4D" w:rsidP="00720038">
      <w:pPr>
        <w:numPr>
          <w:ilvl w:val="0"/>
          <w:numId w:val="13"/>
        </w:numPr>
        <w:spacing w:before="60"/>
        <w:ind w:hanging="357"/>
      </w:pPr>
      <w:r>
        <w:t>There is o</w:t>
      </w:r>
      <w:r w:rsidR="00A36575" w:rsidRPr="000D410C">
        <w:t xml:space="preserve">ngoing educational use in </w:t>
      </w:r>
      <w:r w:rsidR="00DC230A">
        <w:t xml:space="preserve">almost </w:t>
      </w:r>
      <w:r w:rsidR="00A36575" w:rsidRPr="000D410C">
        <w:t>half of p</w:t>
      </w:r>
      <w:r w:rsidR="00A36575">
        <w:t>rogrammes</w:t>
      </w:r>
      <w:r w:rsidR="00A36575" w:rsidRPr="000D410C">
        <w:t xml:space="preserve"> </w:t>
      </w:r>
    </w:p>
    <w:p w:rsidR="000D410C" w:rsidRPr="000D410C" w:rsidRDefault="00A53294" w:rsidP="00720038">
      <w:pPr>
        <w:numPr>
          <w:ilvl w:val="0"/>
          <w:numId w:val="13"/>
        </w:numPr>
        <w:spacing w:before="60"/>
        <w:ind w:hanging="357"/>
      </w:pPr>
      <w:r>
        <w:t xml:space="preserve">Over </w:t>
      </w:r>
      <w:r w:rsidR="000D410C" w:rsidRPr="000D410C">
        <w:t>95% staff and students have positive/neutral experience</w:t>
      </w:r>
      <w:r w:rsidR="008E4D4D">
        <w:t>s</w:t>
      </w:r>
      <w:r w:rsidR="000D410C" w:rsidRPr="000D410C">
        <w:t xml:space="preserve">; non-users </w:t>
      </w:r>
      <w:r w:rsidR="008E4D4D">
        <w:t xml:space="preserve">are </w:t>
      </w:r>
      <w:r w:rsidR="000D410C" w:rsidRPr="000D410C">
        <w:t>willing to adopt</w:t>
      </w:r>
    </w:p>
    <w:p w:rsidR="000D410C" w:rsidRPr="000D410C" w:rsidRDefault="000D410C" w:rsidP="00720038">
      <w:pPr>
        <w:numPr>
          <w:ilvl w:val="0"/>
          <w:numId w:val="13"/>
        </w:numPr>
        <w:spacing w:before="60"/>
        <w:ind w:hanging="357"/>
      </w:pPr>
      <w:r w:rsidRPr="000D410C">
        <w:t>Over half of students interviewed say Turnitin helps them avoid plagiarism</w:t>
      </w:r>
      <w:r w:rsidRPr="000D410C">
        <w:rPr>
          <w:vertAlign w:val="superscript"/>
        </w:rPr>
        <w:footnoteReference w:id="1"/>
      </w:r>
      <w:r w:rsidR="00A53294">
        <w:t xml:space="preserve"> and has </w:t>
      </w:r>
      <w:r w:rsidRPr="000D410C">
        <w:t xml:space="preserve">some impact on </w:t>
      </w:r>
      <w:r w:rsidR="00A53294">
        <w:t xml:space="preserve">referencing and </w:t>
      </w:r>
      <w:r w:rsidRPr="000D410C">
        <w:t>writing generally</w:t>
      </w:r>
      <w:r w:rsidR="00A36575">
        <w:t>; supported by staff views</w:t>
      </w:r>
    </w:p>
    <w:p w:rsidR="000D410C" w:rsidRPr="000D410C" w:rsidRDefault="000D410C" w:rsidP="00720038">
      <w:pPr>
        <w:numPr>
          <w:ilvl w:val="1"/>
          <w:numId w:val="13"/>
        </w:numPr>
        <w:spacing w:before="60"/>
        <w:ind w:hanging="357"/>
      </w:pPr>
      <w:r w:rsidRPr="000D410C">
        <w:t xml:space="preserve">no evidence at this time that </w:t>
      </w:r>
      <w:r w:rsidRPr="00A36575">
        <w:rPr>
          <w:i/>
        </w:rPr>
        <w:t>ongoing</w:t>
      </w:r>
      <w:r w:rsidRPr="000D410C">
        <w:t xml:space="preserve"> educatio</w:t>
      </w:r>
      <w:r w:rsidR="00A36575">
        <w:t>nal use itself increases impact</w:t>
      </w:r>
      <w:r w:rsidRPr="000D410C">
        <w:rPr>
          <w:vertAlign w:val="superscript"/>
        </w:rPr>
        <w:footnoteReference w:id="2"/>
      </w:r>
      <w:r w:rsidR="00720038">
        <w:t xml:space="preserve"> but students say they would welcome more</w:t>
      </w:r>
    </w:p>
    <w:p w:rsidR="000D410C" w:rsidRPr="000D410C" w:rsidRDefault="00A36575" w:rsidP="00720038">
      <w:pPr>
        <w:numPr>
          <w:ilvl w:val="0"/>
          <w:numId w:val="13"/>
        </w:numPr>
        <w:spacing w:before="60"/>
        <w:ind w:hanging="357"/>
      </w:pPr>
      <w:r>
        <w:t>S</w:t>
      </w:r>
      <w:r w:rsidR="000D410C" w:rsidRPr="000D410C">
        <w:t>tudents want more help/reassurance in understanding originality reports</w:t>
      </w:r>
    </w:p>
    <w:p w:rsidR="00E81E93" w:rsidRDefault="00A36575" w:rsidP="006933A7">
      <w:r>
        <w:t>We conclude t</w:t>
      </w:r>
      <w:r w:rsidR="008E4D4D">
        <w:t>hat Turnitin is effective in supporting the plagiarism policy.</w:t>
      </w:r>
      <w:r w:rsidR="00012A0C">
        <w:t xml:space="preserve">  </w:t>
      </w:r>
    </w:p>
    <w:p w:rsidR="006933A7" w:rsidRDefault="008E4D4D" w:rsidP="006933A7">
      <w:r>
        <w:t xml:space="preserve">The </w:t>
      </w:r>
      <w:r w:rsidR="006933A7" w:rsidRPr="006933A7">
        <w:t>educate-</w:t>
      </w:r>
      <w:r w:rsidR="00E87CD8">
        <w:t xml:space="preserve">first, detect-and-punish second, </w:t>
      </w:r>
      <w:r w:rsidR="006933A7" w:rsidRPr="006933A7">
        <w:t xml:space="preserve">approach </w:t>
      </w:r>
      <w:r w:rsidR="00E87CD8">
        <w:t xml:space="preserve">of the policy </w:t>
      </w:r>
      <w:r w:rsidR="006933A7" w:rsidRPr="006933A7">
        <w:t xml:space="preserve">is </w:t>
      </w:r>
      <w:r>
        <w:t>generally understood</w:t>
      </w:r>
      <w:r w:rsidR="00E87CD8">
        <w:t>.  H</w:t>
      </w:r>
      <w:r>
        <w:t>owever</w:t>
      </w:r>
      <w:r w:rsidR="00E87CD8">
        <w:t xml:space="preserve">, </w:t>
      </w:r>
      <w:r w:rsidR="00720038">
        <w:t>there is room for further awareness raising</w:t>
      </w:r>
      <w:r w:rsidR="006933A7">
        <w:t xml:space="preserve">.  </w:t>
      </w:r>
      <w:r w:rsidR="00297BC3">
        <w:t>This</w:t>
      </w:r>
      <w:r w:rsidR="00720038">
        <w:t xml:space="preserve"> educate-first </w:t>
      </w:r>
      <w:r w:rsidR="006933A7">
        <w:t xml:space="preserve">approach is being implemented through use of Turnitin and </w:t>
      </w:r>
      <w:r w:rsidR="00297BC3">
        <w:t xml:space="preserve">is working.  It is </w:t>
      </w:r>
      <w:r w:rsidR="006933A7">
        <w:t xml:space="preserve">having a demonstrable impact on </w:t>
      </w:r>
      <w:r w:rsidR="00720038">
        <w:t>avoiding</w:t>
      </w:r>
      <w:r w:rsidR="006933A7">
        <w:t xml:space="preserve"> plagiarism as well as detection and punishment.  </w:t>
      </w:r>
      <w:r w:rsidR="00720038">
        <w:t xml:space="preserve">Students want </w:t>
      </w:r>
      <w:r w:rsidR="005D6693">
        <w:t>more ongoing educational</w:t>
      </w:r>
      <w:r w:rsidR="006933A7">
        <w:t xml:space="preserve"> use, beyond an initial formative experience, and this is growing.  There is a need for more advice and guidance for students in interpreting originality reports.</w:t>
      </w:r>
      <w:r w:rsidR="00C376F4">
        <w:t xml:space="preserve">  </w:t>
      </w:r>
    </w:p>
    <w:p w:rsidR="00012A0C" w:rsidRDefault="00012A0C" w:rsidP="00012A0C">
      <w:pPr>
        <w:rPr>
          <w:b/>
        </w:rPr>
      </w:pPr>
      <w:r w:rsidRPr="00012A0C">
        <w:rPr>
          <w:b/>
        </w:rPr>
        <w:t>Outcomes</w:t>
      </w:r>
    </w:p>
    <w:p w:rsidR="00012A0C" w:rsidRDefault="00012A0C" w:rsidP="00012A0C">
      <w:pPr>
        <w:pStyle w:val="ListParagraph"/>
        <w:numPr>
          <w:ilvl w:val="0"/>
          <w:numId w:val="14"/>
        </w:numPr>
      </w:pPr>
      <w:r>
        <w:t xml:space="preserve">a revised plagiarism policy was proposed to </w:t>
      </w:r>
      <w:r w:rsidR="00E61357">
        <w:t xml:space="preserve">University </w:t>
      </w:r>
      <w:r>
        <w:t>Learning, Teaching and Assessment Committee to make use of Turnitin mandatory for all ‘submittable’ summative coursework</w:t>
      </w:r>
    </w:p>
    <w:p w:rsidR="00945D4C" w:rsidRDefault="00012A0C" w:rsidP="00945D4C">
      <w:pPr>
        <w:pStyle w:val="ListParagraph"/>
        <w:numPr>
          <w:ilvl w:val="0"/>
          <w:numId w:val="14"/>
        </w:numPr>
      </w:pPr>
      <w:r>
        <w:t>Committee agreed to recommend this for Academic Board approval</w:t>
      </w:r>
      <w:r w:rsidR="00E81E93">
        <w:t xml:space="preserve"> by end 2010/11</w:t>
      </w:r>
    </w:p>
    <w:p w:rsidR="00945D4C" w:rsidRDefault="00945D4C" w:rsidP="00945D4C">
      <w:pPr>
        <w:pStyle w:val="ListParagraph"/>
        <w:numPr>
          <w:ilvl w:val="0"/>
          <w:numId w:val="14"/>
        </w:numPr>
      </w:pPr>
      <w:r>
        <w:t>Work in progress on:</w:t>
      </w:r>
    </w:p>
    <w:p w:rsidR="00945D4C" w:rsidRDefault="00012A0C" w:rsidP="00945D4C">
      <w:pPr>
        <w:pStyle w:val="ListParagraph"/>
        <w:numPr>
          <w:ilvl w:val="1"/>
          <w:numId w:val="20"/>
        </w:numPr>
      </w:pPr>
      <w:r>
        <w:t xml:space="preserve">enhanced guidance for staff and students on interpreting originality reports </w:t>
      </w:r>
    </w:p>
    <w:p w:rsidR="00945D4C" w:rsidRPr="00012A0C" w:rsidRDefault="00945D4C" w:rsidP="00945D4C">
      <w:pPr>
        <w:pStyle w:val="ListParagraph"/>
        <w:numPr>
          <w:ilvl w:val="1"/>
          <w:numId w:val="20"/>
        </w:numPr>
      </w:pPr>
      <w:r>
        <w:t xml:space="preserve">support for tutors in giving feedback to students on their originality reports </w:t>
      </w:r>
    </w:p>
    <w:p w:rsidR="00FB6BDF" w:rsidRPr="00012A0C" w:rsidRDefault="00012A0C" w:rsidP="00012A0C">
      <w:pPr>
        <w:rPr>
          <w:rFonts w:asciiTheme="majorHAnsi" w:eastAsiaTheme="majorEastAsia" w:hAnsiTheme="majorHAnsi" w:cstheme="majorBidi"/>
          <w:b/>
          <w:bCs/>
          <w:color w:val="365F91" w:themeColor="accent1" w:themeShade="BF"/>
          <w:sz w:val="28"/>
          <w:szCs w:val="28"/>
        </w:rPr>
      </w:pPr>
      <w:r>
        <w:t xml:space="preserve">Consideration might also be given to further research into the impact of ongoing educational use of Turnitin compared with just one initial formative experience followed by ongoing use for detection. </w:t>
      </w:r>
      <w:r>
        <w:br w:type="page"/>
      </w:r>
    </w:p>
    <w:p w:rsidR="005C22DA" w:rsidRDefault="005C22DA" w:rsidP="005C22DA">
      <w:pPr>
        <w:pStyle w:val="Heading1"/>
      </w:pPr>
      <w:bookmarkStart w:id="4" w:name="_Toc293559126"/>
      <w:bookmarkStart w:id="5" w:name="_Toc294165544"/>
      <w:r>
        <w:lastRenderedPageBreak/>
        <w:t>Introduction</w:t>
      </w:r>
      <w:bookmarkEnd w:id="4"/>
      <w:bookmarkEnd w:id="5"/>
    </w:p>
    <w:p w:rsidR="00732603" w:rsidRDefault="00103EAC" w:rsidP="00AC4335">
      <w:pPr>
        <w:rPr>
          <w:bCs/>
          <w:iCs/>
        </w:rPr>
      </w:pPr>
      <w:r>
        <w:t>This report describes research conducted during 2010/11</w:t>
      </w:r>
      <w:r w:rsidR="00732603">
        <w:t xml:space="preserve"> at Canterbury Christ Church University </w:t>
      </w:r>
      <w:r>
        <w:t xml:space="preserve">to </w:t>
      </w:r>
      <w:r w:rsidR="00732603">
        <w:t xml:space="preserve">evaluate how </w:t>
      </w:r>
      <w:r w:rsidR="00732603" w:rsidRPr="00AC4335">
        <w:t xml:space="preserve">effective </w:t>
      </w:r>
      <w:r w:rsidR="00732603">
        <w:t xml:space="preserve">Turnitin is </w:t>
      </w:r>
      <w:r w:rsidR="00732603" w:rsidRPr="00AC4335">
        <w:t xml:space="preserve">in </w:t>
      </w:r>
      <w:r w:rsidR="00732603">
        <w:t xml:space="preserve">supporting our plagiarism </w:t>
      </w:r>
      <w:r w:rsidR="007F3003">
        <w:t>policy</w:t>
      </w:r>
      <w:r w:rsidR="00732603">
        <w:t>.</w:t>
      </w:r>
    </w:p>
    <w:p w:rsidR="008034A9" w:rsidRDefault="008034A9" w:rsidP="00AC4335">
      <w:r>
        <w:t xml:space="preserve">Canterbury Christ Church University is a </w:t>
      </w:r>
      <w:r w:rsidR="00A33DB5">
        <w:t xml:space="preserve">medium sized, </w:t>
      </w:r>
      <w:r>
        <w:t xml:space="preserve">post-92 </w:t>
      </w:r>
      <w:r w:rsidR="00200409">
        <w:t>university</w:t>
      </w:r>
      <w:r>
        <w:t xml:space="preserve"> </w:t>
      </w:r>
      <w:r w:rsidR="00A33DB5">
        <w:t xml:space="preserve">and the </w:t>
      </w:r>
      <w:r w:rsidR="00A33DB5" w:rsidRPr="00A33DB5">
        <w:t>largest centre of higher education in Kent for the public services</w:t>
      </w:r>
      <w:r w:rsidR="00DC230A">
        <w:t xml:space="preserve"> including teaching</w:t>
      </w:r>
      <w:r w:rsidR="00A33DB5">
        <w:t>, nursing, policing, health and social care</w:t>
      </w:r>
      <w:r w:rsidR="00EC0208">
        <w:rPr>
          <w:rStyle w:val="FootnoteReference"/>
        </w:rPr>
        <w:footnoteReference w:id="3"/>
      </w:r>
      <w:r w:rsidR="00A33DB5">
        <w:t>.</w:t>
      </w:r>
    </w:p>
    <w:p w:rsidR="00AC4335" w:rsidRDefault="005C7F2F" w:rsidP="00AC4335">
      <w:r>
        <w:t xml:space="preserve">We believe that, </w:t>
      </w:r>
      <w:r w:rsidR="00AC4335" w:rsidRPr="00AC4335">
        <w:t>although deliberate plagiari</w:t>
      </w:r>
      <w:r>
        <w:t xml:space="preserve">sm exists, much is accidental </w:t>
      </w:r>
      <w:r w:rsidRPr="00AC4335">
        <w:t>a</w:t>
      </w:r>
      <w:r>
        <w:t>nd there is a</w:t>
      </w:r>
      <w:r w:rsidRPr="00AC4335">
        <w:t xml:space="preserve"> need for educatin</w:t>
      </w:r>
      <w:r>
        <w:t xml:space="preserve">g learners to avoid plagiarism.  </w:t>
      </w:r>
      <w:r w:rsidR="004631F1">
        <w:t>As such, our plagiarism policy – established in 2007/8 - commits to an educate-first, detect-and-</w:t>
      </w:r>
      <w:r w:rsidR="004631F1" w:rsidRPr="00AC4335">
        <w:t>punish</w:t>
      </w:r>
      <w:r w:rsidR="004631F1">
        <w:t>-second</w:t>
      </w:r>
      <w:r w:rsidR="004631F1" w:rsidRPr="00AC4335">
        <w:t>, approach</w:t>
      </w:r>
      <w:r w:rsidR="004631F1">
        <w:t xml:space="preserve"> (Canterbury Christ Church University, 2007)</w:t>
      </w:r>
      <w:r w:rsidR="004631F1" w:rsidRPr="00AC4335">
        <w:t xml:space="preserve">.  </w:t>
      </w:r>
      <w:r w:rsidR="00EC0208">
        <w:t>In support of this approach</w:t>
      </w:r>
      <w:r w:rsidR="007F3003">
        <w:t>, t</w:t>
      </w:r>
      <w:r w:rsidR="00022CDF">
        <w:t xml:space="preserve">he policy </w:t>
      </w:r>
      <w:r w:rsidR="007A53B6">
        <w:t>allows Turnitin to be used at the discretion of module</w:t>
      </w:r>
      <w:r w:rsidR="00DC230A">
        <w:t xml:space="preserve"> and programme leaders</w:t>
      </w:r>
      <w:r w:rsidR="007A53B6">
        <w:t xml:space="preserve"> but requires that</w:t>
      </w:r>
      <w:r w:rsidR="00022CDF">
        <w:t>:</w:t>
      </w:r>
    </w:p>
    <w:p w:rsidR="00455B2A" w:rsidRDefault="007A53B6" w:rsidP="007B3EFB">
      <w:pPr>
        <w:pStyle w:val="ListParagraph"/>
        <w:numPr>
          <w:ilvl w:val="0"/>
          <w:numId w:val="3"/>
        </w:numPr>
      </w:pPr>
      <w:r>
        <w:t>s</w:t>
      </w:r>
      <w:r w:rsidR="007B3EFB">
        <w:t>tudents must be advise</w:t>
      </w:r>
      <w:r w:rsidR="003524FE">
        <w:t xml:space="preserve">d of </w:t>
      </w:r>
      <w:r w:rsidR="00DC230A">
        <w:t xml:space="preserve">the </w:t>
      </w:r>
      <w:r w:rsidR="003524FE">
        <w:t>use of Turnitin in advance i.e.</w:t>
      </w:r>
      <w:r w:rsidR="007B3EFB">
        <w:t xml:space="preserve"> no retrospective use</w:t>
      </w:r>
    </w:p>
    <w:p w:rsidR="007B3EFB" w:rsidRDefault="007A53B6" w:rsidP="007B3EFB">
      <w:pPr>
        <w:pStyle w:val="ListParagraph"/>
        <w:numPr>
          <w:ilvl w:val="0"/>
          <w:numId w:val="3"/>
        </w:numPr>
      </w:pPr>
      <w:r>
        <w:t>al</w:t>
      </w:r>
      <w:r w:rsidR="007B3EFB">
        <w:t>l students must sub</w:t>
      </w:r>
      <w:r w:rsidR="003524FE">
        <w:t xml:space="preserve">mit for any coursework checked i.e. </w:t>
      </w:r>
      <w:r w:rsidR="007B3EFB">
        <w:t>no singling out individuals</w:t>
      </w:r>
    </w:p>
    <w:p w:rsidR="007B3EFB" w:rsidRPr="00AC4335" w:rsidRDefault="007A53B6" w:rsidP="007B3EFB">
      <w:pPr>
        <w:pStyle w:val="ListParagraph"/>
        <w:numPr>
          <w:ilvl w:val="0"/>
          <w:numId w:val="3"/>
        </w:numPr>
      </w:pPr>
      <w:r>
        <w:t>s</w:t>
      </w:r>
      <w:r w:rsidR="00022CDF">
        <w:t xml:space="preserve">tudents must have a formative experience of Turnitin before summative use </w:t>
      </w:r>
    </w:p>
    <w:p w:rsidR="00C030C9" w:rsidRDefault="009D2316" w:rsidP="00FA3732">
      <w:r>
        <w:t xml:space="preserve">Use of Turnitin </w:t>
      </w:r>
      <w:r w:rsidR="00732603">
        <w:t xml:space="preserve">has grown </w:t>
      </w:r>
      <w:r w:rsidR="0088118F">
        <w:t>steadily.  There were almost 20000 student papers submitted</w:t>
      </w:r>
      <w:r w:rsidR="002B2F40">
        <w:t xml:space="preserve"> in the 12 months to Jan 2011</w:t>
      </w:r>
      <w:r w:rsidR="007A53B6">
        <w:t>, representing a third or more of our students</w:t>
      </w:r>
      <w:r w:rsidR="00B41E66">
        <w:t>.  T</w:t>
      </w:r>
      <w:r w:rsidR="0088118F">
        <w:t xml:space="preserve">his </w:t>
      </w:r>
      <w:r w:rsidR="00732603">
        <w:t xml:space="preserve">was a good time to </w:t>
      </w:r>
      <w:r w:rsidR="00B41E66">
        <w:t>evaluat</w:t>
      </w:r>
      <w:r w:rsidR="0088118F">
        <w:t>e</w:t>
      </w:r>
      <w:r w:rsidR="00EC0208">
        <w:t>.  W</w:t>
      </w:r>
      <w:r w:rsidR="00B41E66">
        <w:t xml:space="preserve">e </w:t>
      </w:r>
      <w:r w:rsidR="0088118F">
        <w:t>wanted to know how Turnitin was being used acros</w:t>
      </w:r>
      <w:r w:rsidR="00B41E66">
        <w:t xml:space="preserve">s the whole institution and whether </w:t>
      </w:r>
      <w:r w:rsidR="00DC230A">
        <w:t>it was helping to deliver the</w:t>
      </w:r>
      <w:r w:rsidR="00E87CD8">
        <w:t xml:space="preserve"> educate-first</w:t>
      </w:r>
      <w:r w:rsidR="00B41E66">
        <w:t xml:space="preserve"> approach.   </w:t>
      </w:r>
    </w:p>
    <w:p w:rsidR="00574C8A" w:rsidRDefault="00B41E66" w:rsidP="00FA3732">
      <w:r>
        <w:t>Our</w:t>
      </w:r>
      <w:r w:rsidR="00574C8A">
        <w:t xml:space="preserve"> primary aim</w:t>
      </w:r>
      <w:r>
        <w:t xml:space="preserve"> for the research </w:t>
      </w:r>
      <w:r w:rsidR="00574C8A">
        <w:t xml:space="preserve">was </w:t>
      </w:r>
      <w:r>
        <w:t>to develop</w:t>
      </w:r>
      <w:r w:rsidR="002B2F40">
        <w:t xml:space="preserve"> </w:t>
      </w:r>
      <w:r w:rsidR="007F3003">
        <w:t xml:space="preserve">our own policy and practice </w:t>
      </w:r>
      <w:r w:rsidR="00574C8A">
        <w:t>through establishing:</w:t>
      </w:r>
    </w:p>
    <w:p w:rsidR="00574C8A" w:rsidRDefault="00574C8A" w:rsidP="00574C8A">
      <w:pPr>
        <w:pStyle w:val="ListParagraph"/>
        <w:numPr>
          <w:ilvl w:val="0"/>
          <w:numId w:val="10"/>
        </w:numPr>
      </w:pPr>
      <w:r>
        <w:t>extent of use of Turnitin</w:t>
      </w:r>
    </w:p>
    <w:p w:rsidR="00574C8A" w:rsidRDefault="00B45565" w:rsidP="00574C8A">
      <w:pPr>
        <w:pStyle w:val="ListParagraph"/>
        <w:numPr>
          <w:ilvl w:val="0"/>
          <w:numId w:val="10"/>
        </w:numPr>
      </w:pPr>
      <w:r>
        <w:t>perceptions of</w:t>
      </w:r>
      <w:r w:rsidR="00574C8A">
        <w:t xml:space="preserve"> </w:t>
      </w:r>
      <w:r w:rsidR="007D2A18">
        <w:t xml:space="preserve">the plagiarism policy and </w:t>
      </w:r>
      <w:r w:rsidR="009B3F67">
        <w:t xml:space="preserve">how </w:t>
      </w:r>
      <w:r w:rsidR="00574C8A">
        <w:t>T</w:t>
      </w:r>
      <w:r w:rsidR="00574C8A" w:rsidRPr="00574C8A">
        <w:t xml:space="preserve">urnitin </w:t>
      </w:r>
      <w:r w:rsidR="00574C8A">
        <w:t xml:space="preserve">relates </w:t>
      </w:r>
      <w:r w:rsidR="00574C8A" w:rsidRPr="00574C8A">
        <w:t xml:space="preserve">to </w:t>
      </w:r>
      <w:r w:rsidR="007D2A18">
        <w:t>it</w:t>
      </w:r>
    </w:p>
    <w:p w:rsidR="00574C8A" w:rsidRDefault="00574C8A" w:rsidP="00574C8A">
      <w:pPr>
        <w:pStyle w:val="ListParagraph"/>
        <w:numPr>
          <w:ilvl w:val="0"/>
          <w:numId w:val="10"/>
        </w:numPr>
      </w:pPr>
      <w:r>
        <w:t>strategies for using Turnitin</w:t>
      </w:r>
    </w:p>
    <w:p w:rsidR="00574C8A" w:rsidRDefault="00574C8A" w:rsidP="00574C8A">
      <w:pPr>
        <w:pStyle w:val="ListParagraph"/>
        <w:numPr>
          <w:ilvl w:val="0"/>
          <w:numId w:val="10"/>
        </w:numPr>
      </w:pPr>
      <w:r>
        <w:t>level of staff and student satisfaction</w:t>
      </w:r>
      <w:r w:rsidR="009B3F67">
        <w:t xml:space="preserve"> </w:t>
      </w:r>
    </w:p>
    <w:p w:rsidR="00574C8A" w:rsidRDefault="009B3F67" w:rsidP="00574C8A">
      <w:pPr>
        <w:pStyle w:val="ListParagraph"/>
        <w:numPr>
          <w:ilvl w:val="0"/>
          <w:numId w:val="10"/>
        </w:numPr>
      </w:pPr>
      <w:r>
        <w:t xml:space="preserve">impact of Turnitin on </w:t>
      </w:r>
      <w:r w:rsidR="00574C8A">
        <w:t>education to avoid plagiarism</w:t>
      </w:r>
    </w:p>
    <w:p w:rsidR="00C56D93" w:rsidRDefault="00DC230A" w:rsidP="00C56D93">
      <w:pPr>
        <w:pStyle w:val="ListParagraph"/>
        <w:numPr>
          <w:ilvl w:val="0"/>
          <w:numId w:val="10"/>
        </w:numPr>
      </w:pPr>
      <w:r>
        <w:t>impact of Turnitin on</w:t>
      </w:r>
      <w:r w:rsidR="00C56D93">
        <w:t xml:space="preserve"> detection and procedures for dealing with alleged plagiarism</w:t>
      </w:r>
    </w:p>
    <w:p w:rsidR="00FA3732" w:rsidRDefault="00574C8A" w:rsidP="00FA3732">
      <w:r>
        <w:t xml:space="preserve">A further aim was </w:t>
      </w:r>
      <w:r w:rsidR="00B41E66">
        <w:t>contribute to the sector’s body of knowledge</w:t>
      </w:r>
      <w:r w:rsidR="007F3003">
        <w:t>.</w:t>
      </w:r>
      <w:r>
        <w:t xml:space="preserve">  </w:t>
      </w:r>
      <w:r w:rsidR="007F3003">
        <w:t>Prevention of plagiarism through education is a theme</w:t>
      </w:r>
      <w:r w:rsidR="007F3003" w:rsidRPr="00AC4335">
        <w:t xml:space="preserve"> </w:t>
      </w:r>
      <w:r w:rsidR="007F3003">
        <w:t xml:space="preserve">identified </w:t>
      </w:r>
      <w:r w:rsidR="007F3003" w:rsidRPr="00AC4335">
        <w:t>by Badge (2009)</w:t>
      </w:r>
      <w:r w:rsidR="007F3003">
        <w:t xml:space="preserve"> who </w:t>
      </w:r>
      <w:r w:rsidR="007F3003" w:rsidRPr="00AC4335">
        <w:t>concludes an area lacking in research is “investigation of the impact of these tools on staff teaching practices”.</w:t>
      </w:r>
      <w:r w:rsidR="007F3003">
        <w:t xml:space="preserve">  Although a number of recent studies have considered educational use of Turnitin</w:t>
      </w:r>
      <w:r w:rsidR="00597FBE">
        <w:t xml:space="preserve"> (Davis &amp; Carroll, 2009; McCarthy &amp; Rogerson, 2009; Wiggins, 2010; Flynn, 2010), </w:t>
      </w:r>
      <w:r w:rsidR="00F61F07">
        <w:t xml:space="preserve">they </w:t>
      </w:r>
      <w:r w:rsidR="00597FBE">
        <w:t xml:space="preserve">focus on </w:t>
      </w:r>
      <w:r w:rsidR="00F61F07">
        <w:t xml:space="preserve">individual programmes or </w:t>
      </w:r>
      <w:r w:rsidR="00597FBE">
        <w:t xml:space="preserve">subject areas </w:t>
      </w:r>
      <w:r w:rsidR="007F3003">
        <w:t xml:space="preserve">rather than </w:t>
      </w:r>
      <w:r w:rsidR="00F61F07">
        <w:t>institutions as a whole and the relationship with policy</w:t>
      </w:r>
      <w:r w:rsidR="00597FBE">
        <w:t>.</w:t>
      </w:r>
    </w:p>
    <w:p w:rsidR="0028492B" w:rsidRDefault="0028492B" w:rsidP="00FA3732">
      <w:r>
        <w:t xml:space="preserve">The research was conducted during </w:t>
      </w:r>
      <w:r w:rsidR="00DC230A">
        <w:t xml:space="preserve">the </w:t>
      </w:r>
      <w:r>
        <w:t xml:space="preserve">Autumn and Spring terms 2010/11 by a </w:t>
      </w:r>
      <w:r w:rsidR="00C47307">
        <w:t>small team comprising</w:t>
      </w:r>
      <w:r>
        <w:t xml:space="preserve"> </w:t>
      </w:r>
      <w:r w:rsidR="00DC230A">
        <w:t>a</w:t>
      </w:r>
      <w:r w:rsidR="000E267E">
        <w:t xml:space="preserve"> learning technologist </w:t>
      </w:r>
      <w:r>
        <w:t>from our central Learning and Teaching Enhancement Unit (LTEU)</w:t>
      </w:r>
      <w:r w:rsidR="00536588">
        <w:t xml:space="preserve"> </w:t>
      </w:r>
      <w:r w:rsidR="00C47307">
        <w:t xml:space="preserve">and a </w:t>
      </w:r>
      <w:r w:rsidR="0014155A">
        <w:t xml:space="preserve">principal research fellow </w:t>
      </w:r>
      <w:r w:rsidR="00C47307">
        <w:t>from our Faculty of Education.</w:t>
      </w:r>
      <w:r w:rsidR="00B9325B">
        <w:t xml:space="preserve">  The research project </w:t>
      </w:r>
      <w:r w:rsidR="00EC0208">
        <w:t xml:space="preserve">team </w:t>
      </w:r>
      <w:r w:rsidR="00B9325B">
        <w:t xml:space="preserve">worked in close partnership with </w:t>
      </w:r>
      <w:r w:rsidR="00DC230A">
        <w:t xml:space="preserve">the </w:t>
      </w:r>
      <w:r w:rsidR="00B9325B">
        <w:t xml:space="preserve">Student Union (SU) </w:t>
      </w:r>
      <w:r w:rsidR="00D47E94">
        <w:t xml:space="preserve">which </w:t>
      </w:r>
      <w:r w:rsidR="00B9325B">
        <w:t>took an active role in the research including survey design and delivery, dissemination of outcomes and input into subsequent development of policy and practice.</w:t>
      </w:r>
    </w:p>
    <w:p w:rsidR="00096AD9" w:rsidRDefault="00096AD9">
      <w:pPr>
        <w:spacing w:before="0" w:after="200"/>
        <w:rPr>
          <w:rFonts w:asciiTheme="majorHAnsi" w:eastAsiaTheme="majorEastAsia" w:hAnsiTheme="majorHAnsi" w:cstheme="majorBidi"/>
          <w:b/>
          <w:bCs/>
          <w:color w:val="365F91" w:themeColor="accent1" w:themeShade="BF"/>
          <w:sz w:val="28"/>
          <w:szCs w:val="28"/>
        </w:rPr>
      </w:pPr>
      <w:r>
        <w:br w:type="page"/>
      </w:r>
    </w:p>
    <w:p w:rsidR="001404F9" w:rsidRDefault="001404F9" w:rsidP="001404F9">
      <w:pPr>
        <w:pStyle w:val="Heading1"/>
      </w:pPr>
      <w:bookmarkStart w:id="6" w:name="_Toc293559127"/>
      <w:bookmarkStart w:id="7" w:name="_Toc294165545"/>
      <w:r>
        <w:lastRenderedPageBreak/>
        <w:t>Method</w:t>
      </w:r>
      <w:bookmarkEnd w:id="6"/>
      <w:bookmarkEnd w:id="7"/>
    </w:p>
    <w:p w:rsidR="00C030C9" w:rsidRDefault="00C030C9" w:rsidP="00C030C9">
      <w:r>
        <w:t xml:space="preserve">The research employed a </w:t>
      </w:r>
      <w:r w:rsidR="00F7776C">
        <w:t xml:space="preserve">number </w:t>
      </w:r>
      <w:r>
        <w:t>of quantitative and qualitative data gathering methods as follows.</w:t>
      </w:r>
    </w:p>
    <w:p w:rsidR="00C030C9" w:rsidRDefault="00C030C9" w:rsidP="00C030C9">
      <w:pPr>
        <w:pStyle w:val="Heading3"/>
      </w:pPr>
      <w:r>
        <w:t>Staff Survey</w:t>
      </w:r>
    </w:p>
    <w:p w:rsidR="00C030C9" w:rsidRDefault="00C030C9" w:rsidP="00C030C9">
      <w:r>
        <w:t xml:space="preserve">All academic </w:t>
      </w:r>
      <w:r w:rsidR="0033440D">
        <w:t xml:space="preserve">(teaching) </w:t>
      </w:r>
      <w:r>
        <w:t xml:space="preserve">staff were invited </w:t>
      </w:r>
      <w:r w:rsidR="00DC230A">
        <w:t xml:space="preserve">via our staff intranet and by faculty/department e-mail shots </w:t>
      </w:r>
      <w:r>
        <w:t xml:space="preserve">to participate in an anonymous, online survey </w:t>
      </w:r>
      <w:r w:rsidR="00921D8A">
        <w:t>using Bristol Online Surveys</w:t>
      </w:r>
      <w:r w:rsidR="00921D8A">
        <w:rPr>
          <w:rStyle w:val="FootnoteReference"/>
        </w:rPr>
        <w:footnoteReference w:id="4"/>
      </w:r>
      <w:r w:rsidR="00921D8A">
        <w:t xml:space="preserve"> (BOS).</w:t>
      </w:r>
      <w:r w:rsidR="00FA648B">
        <w:t xml:space="preserve">  The survey </w:t>
      </w:r>
      <w:r w:rsidR="0028492B">
        <w:t xml:space="preserve">was </w:t>
      </w:r>
      <w:r w:rsidR="00A67BB6">
        <w:t xml:space="preserve">designed to </w:t>
      </w:r>
      <w:r w:rsidR="00DE16F1">
        <w:t xml:space="preserve">establish </w:t>
      </w:r>
      <w:r w:rsidR="001A5B6A" w:rsidRPr="001A5B6A">
        <w:t xml:space="preserve">the range and extent of Turnitin use for </w:t>
      </w:r>
      <w:r w:rsidR="001A5B6A">
        <w:t>o</w:t>
      </w:r>
      <w:r w:rsidR="001A5B6A" w:rsidRPr="001A5B6A">
        <w:t xml:space="preserve">riginality </w:t>
      </w:r>
      <w:r w:rsidR="001A5B6A">
        <w:t>c</w:t>
      </w:r>
      <w:r w:rsidR="001A5B6A" w:rsidRPr="001A5B6A">
        <w:t>hecking, to understand staff perceptions of Turnitin and links with education and the procedures for dealing with alleged plagiarism</w:t>
      </w:r>
      <w:r w:rsidR="001A5B6A">
        <w:t xml:space="preserve">.  </w:t>
      </w:r>
      <w:r w:rsidR="00DC230A">
        <w:t>Respondents were also asked if they</w:t>
      </w:r>
      <w:r w:rsidR="00E15D65">
        <w:t xml:space="preserve"> would be willing to be interviewed.  </w:t>
      </w:r>
      <w:r w:rsidR="001A15C9">
        <w:t xml:space="preserve">The survey was open for </w:t>
      </w:r>
      <w:r w:rsidR="00DC230A">
        <w:t>three</w:t>
      </w:r>
      <w:r w:rsidR="001A15C9">
        <w:t xml:space="preserve"> weeks </w:t>
      </w:r>
      <w:r w:rsidR="005B1512">
        <w:t>around the middle of the Autumn Term 2010/11</w:t>
      </w:r>
      <w:r w:rsidR="00196FDF">
        <w:t xml:space="preserve"> </w:t>
      </w:r>
      <w:r w:rsidR="00E61380">
        <w:t xml:space="preserve">so as </w:t>
      </w:r>
      <w:r w:rsidR="00196FDF">
        <w:t>to be available after the start of term rush</w:t>
      </w:r>
      <w:r w:rsidR="005B1512">
        <w:t xml:space="preserve">.  </w:t>
      </w:r>
    </w:p>
    <w:p w:rsidR="006A2B37" w:rsidRDefault="006A2B37" w:rsidP="00C030C9">
      <w:r w:rsidRPr="00AD4C47">
        <w:t xml:space="preserve">62 </w:t>
      </w:r>
      <w:r>
        <w:t xml:space="preserve">academic </w:t>
      </w:r>
      <w:r w:rsidRPr="00AD4C47">
        <w:t>staff responded</w:t>
      </w:r>
      <w:r>
        <w:t xml:space="preserve"> to the survey</w:t>
      </w:r>
      <w:r w:rsidRPr="00AD4C47">
        <w:t xml:space="preserve"> </w:t>
      </w:r>
      <w:r>
        <w:t xml:space="preserve">of which 39 had used Turnitin -  a response rate of </w:t>
      </w:r>
      <w:r w:rsidRPr="00543636">
        <w:t>12%</w:t>
      </w:r>
      <w:r w:rsidRPr="00543636">
        <w:rPr>
          <w:rStyle w:val="FootnoteReference"/>
        </w:rPr>
        <w:footnoteReference w:id="5"/>
      </w:r>
      <w:r>
        <w:t>.  All Faculties were represented with most responses from Education (21/62) and least from Arts and Humanities (6/62).  All roles were represented with most responses from Senior Lecturer/Lecturer Module Leader roles.</w:t>
      </w:r>
    </w:p>
    <w:p w:rsidR="00FC3245" w:rsidRDefault="00FC3245" w:rsidP="00FC3245">
      <w:pPr>
        <w:pStyle w:val="Heading3"/>
      </w:pPr>
      <w:r>
        <w:t>Staff Interviews</w:t>
      </w:r>
    </w:p>
    <w:p w:rsidR="00FC3245" w:rsidRDefault="00FC3245" w:rsidP="00FC3245">
      <w:r>
        <w:t xml:space="preserve">Interviews were conducted with a range of academic staff and stakeholders in other roles.  These included the Assistant Registrar </w:t>
      </w:r>
      <w:r w:rsidR="00CE2ED2">
        <w:t>(</w:t>
      </w:r>
      <w:r>
        <w:t>responsible for plagiarism pa</w:t>
      </w:r>
      <w:r w:rsidR="00CE2ED2">
        <w:t>nels), Faculty Quality Officers (</w:t>
      </w:r>
      <w:r>
        <w:t>responsible for academic planning and review</w:t>
      </w:r>
      <w:r w:rsidR="00CE2ED2">
        <w:t>)</w:t>
      </w:r>
      <w:r>
        <w:t xml:space="preserve">, the Director of Learning and Teaching, Student Support Services, programme administrators and the Student Union </w:t>
      </w:r>
      <w:r w:rsidRPr="00DE16F1">
        <w:t>Student Representation Coordinator and Advice Caseworker</w:t>
      </w:r>
      <w:r>
        <w:t xml:space="preserve">.  Interviews were designed to </w:t>
      </w:r>
      <w:r w:rsidRPr="001A5B6A">
        <w:t xml:space="preserve">understand </w:t>
      </w:r>
      <w:r>
        <w:t>the relationship of staff roles to plagiarism, their knowledge and perceptions of university plagiarism policy and their understanding of Turnitin.  Academic staff who use Turnitin were also asked about their approach and</w:t>
      </w:r>
      <w:r w:rsidR="00EC0208">
        <w:t xml:space="preserve"> experience</w:t>
      </w:r>
      <w:r w:rsidR="00CE2ED2">
        <w:t>s</w:t>
      </w:r>
      <w:r w:rsidR="006523AF">
        <w:t xml:space="preserve"> in detail.</w:t>
      </w:r>
    </w:p>
    <w:p w:rsidR="006A2B37" w:rsidRDefault="006A2B37" w:rsidP="00FC3245">
      <w:r>
        <w:t xml:space="preserve">26 staff were interviewed of which 15 were academic staff.  Most of these had used Turnitin.  The remaining staff interviewed were stakeholders with other roles (see Method).  </w:t>
      </w:r>
    </w:p>
    <w:p w:rsidR="00C030C9" w:rsidRDefault="00C030C9" w:rsidP="00C030C9">
      <w:pPr>
        <w:pStyle w:val="Heading3"/>
      </w:pPr>
      <w:r>
        <w:t>Student Survey</w:t>
      </w:r>
    </w:p>
    <w:p w:rsidR="00C030C9" w:rsidRDefault="00A67BB6" w:rsidP="00C030C9">
      <w:r>
        <w:t>All students were invited to participate in a similar survey</w:t>
      </w:r>
      <w:r w:rsidR="00462C7E">
        <w:t xml:space="preserve"> </w:t>
      </w:r>
      <w:r w:rsidR="00536588">
        <w:t xml:space="preserve">which was constructed in partnership with the </w:t>
      </w:r>
      <w:r w:rsidR="00E61380">
        <w:t>Student Union (</w:t>
      </w:r>
      <w:r w:rsidR="00536588">
        <w:t>SU</w:t>
      </w:r>
      <w:r w:rsidR="00E61380">
        <w:t>)</w:t>
      </w:r>
      <w:r>
        <w:t xml:space="preserve">.  The survey </w:t>
      </w:r>
      <w:r w:rsidR="00882639">
        <w:t xml:space="preserve">was designed to </w:t>
      </w:r>
      <w:r w:rsidR="00DE16F1">
        <w:t xml:space="preserve">understand </w:t>
      </w:r>
      <w:r w:rsidR="00882639">
        <w:t>student</w:t>
      </w:r>
      <w:r w:rsidR="00536588">
        <w:t>s’</w:t>
      </w:r>
      <w:r w:rsidR="00882639">
        <w:t xml:space="preserve"> perceptions of Turnitin </w:t>
      </w:r>
      <w:r w:rsidR="00882639" w:rsidRPr="00882639">
        <w:t xml:space="preserve">and its links with the </w:t>
      </w:r>
      <w:r w:rsidR="008D3098">
        <w:t>u</w:t>
      </w:r>
      <w:r w:rsidR="00882639" w:rsidRPr="00882639">
        <w:t xml:space="preserve">niversity's </w:t>
      </w:r>
      <w:r w:rsidR="008D3098">
        <w:t>p</w:t>
      </w:r>
      <w:r w:rsidR="00882639" w:rsidRPr="00882639">
        <w:t xml:space="preserve">lagiarism </w:t>
      </w:r>
      <w:r w:rsidR="008D3098">
        <w:t>p</w:t>
      </w:r>
      <w:r w:rsidR="00882639" w:rsidRPr="00882639">
        <w:t>olicy</w:t>
      </w:r>
      <w:r>
        <w:t>.</w:t>
      </w:r>
      <w:r w:rsidR="00B9325B">
        <w:t xml:space="preserve">  </w:t>
      </w:r>
      <w:r w:rsidR="00536588">
        <w:t xml:space="preserve">The </w:t>
      </w:r>
      <w:r w:rsidR="00E15D65">
        <w:t xml:space="preserve">survey </w:t>
      </w:r>
      <w:r w:rsidR="00536588">
        <w:t xml:space="preserve">also </w:t>
      </w:r>
      <w:r w:rsidR="00E15D65">
        <w:t xml:space="preserve">asked </w:t>
      </w:r>
      <w:r w:rsidR="00563996">
        <w:t xml:space="preserve">if </w:t>
      </w:r>
      <w:r w:rsidR="00DC230A">
        <w:t>Responde</w:t>
      </w:r>
      <w:r w:rsidR="004631F1">
        <w:t>nts</w:t>
      </w:r>
      <w:r w:rsidR="00E15D65">
        <w:t xml:space="preserve"> would be willing to complete a follo</w:t>
      </w:r>
      <w:r w:rsidR="00536588">
        <w:t>w-up questionnaire via e-mail</w:t>
      </w:r>
      <w:r w:rsidR="00D47E94">
        <w:t xml:space="preserve">.  Students were invited to respond </w:t>
      </w:r>
      <w:r>
        <w:t xml:space="preserve">via </w:t>
      </w:r>
      <w:r w:rsidR="00D47E94">
        <w:t xml:space="preserve">the </w:t>
      </w:r>
      <w:r w:rsidR="00563996">
        <w:t xml:space="preserve">SU web site, </w:t>
      </w:r>
      <w:r>
        <w:t>e-mail</w:t>
      </w:r>
      <w:r w:rsidR="00D47E94">
        <w:t xml:space="preserve"> bulletins</w:t>
      </w:r>
      <w:r>
        <w:t xml:space="preserve">, posters in </w:t>
      </w:r>
      <w:r w:rsidR="00D47E94">
        <w:t xml:space="preserve">the </w:t>
      </w:r>
      <w:r>
        <w:t xml:space="preserve">SU </w:t>
      </w:r>
      <w:r w:rsidR="00563996">
        <w:t xml:space="preserve">building </w:t>
      </w:r>
      <w:r>
        <w:t xml:space="preserve">and via </w:t>
      </w:r>
      <w:r w:rsidR="00D47E94">
        <w:t xml:space="preserve">their programme tutors.  The survey was open for </w:t>
      </w:r>
      <w:r w:rsidR="00DC230A">
        <w:t>two</w:t>
      </w:r>
      <w:r w:rsidR="00D47E94">
        <w:t xml:space="preserve"> months from the beginning of Autumn Term 2010/11 </w:t>
      </w:r>
      <w:r w:rsidR="00E61380">
        <w:t xml:space="preserve">so as </w:t>
      </w:r>
      <w:r w:rsidR="00196FDF">
        <w:t xml:space="preserve">to be available to new students around early plagiarism briefings and to existing students settling down after the start of term rush.  </w:t>
      </w:r>
      <w:r w:rsidR="00563996">
        <w:t xml:space="preserve">On the advice of </w:t>
      </w:r>
      <w:r w:rsidR="00CF3F7A">
        <w:t xml:space="preserve">the </w:t>
      </w:r>
      <w:r>
        <w:t xml:space="preserve">SU, </w:t>
      </w:r>
      <w:r w:rsidR="00D47E94">
        <w:t xml:space="preserve">students were </w:t>
      </w:r>
      <w:r w:rsidR="00196FDF">
        <w:t xml:space="preserve">further </w:t>
      </w:r>
      <w:r>
        <w:t xml:space="preserve">encouraged </w:t>
      </w:r>
      <w:r w:rsidR="00196FDF">
        <w:t>by a prize draw</w:t>
      </w:r>
      <w:r w:rsidR="00CF3F7A">
        <w:t xml:space="preserve"> </w:t>
      </w:r>
      <w:r w:rsidR="007C7B39">
        <w:t>for a</w:t>
      </w:r>
      <w:r w:rsidR="00CF3F7A">
        <w:t xml:space="preserve"> £100 high str</w:t>
      </w:r>
      <w:r w:rsidR="00536588">
        <w:t xml:space="preserve">eet voucher and a video camera as well as </w:t>
      </w:r>
      <w:r w:rsidR="00CF3F7A">
        <w:t xml:space="preserve">a </w:t>
      </w:r>
      <w:r w:rsidR="00536588">
        <w:t xml:space="preserve">stand </w:t>
      </w:r>
      <w:r w:rsidR="00CF3F7A">
        <w:t xml:space="preserve">in the SU building </w:t>
      </w:r>
      <w:r w:rsidR="00536588">
        <w:t xml:space="preserve">where </w:t>
      </w:r>
      <w:r w:rsidR="00D47E94">
        <w:t>meal vouchers</w:t>
      </w:r>
      <w:r w:rsidR="00CF3F7A">
        <w:t xml:space="preserve"> </w:t>
      </w:r>
      <w:r w:rsidR="00563996">
        <w:t xml:space="preserve">were </w:t>
      </w:r>
      <w:r w:rsidR="00536588">
        <w:t xml:space="preserve">given for </w:t>
      </w:r>
      <w:r w:rsidR="00CF3F7A">
        <w:t>taking the survey</w:t>
      </w:r>
      <w:r w:rsidR="00536588">
        <w:t xml:space="preserve"> on the spot</w:t>
      </w:r>
      <w:r w:rsidR="00D47E94">
        <w:t xml:space="preserve">.  </w:t>
      </w:r>
    </w:p>
    <w:p w:rsidR="006A2B37" w:rsidRDefault="006A2B37" w:rsidP="00C030C9">
      <w:r w:rsidRPr="00AD4C47">
        <w:t>367 students responded</w:t>
      </w:r>
      <w:r>
        <w:t xml:space="preserve"> to the survey </w:t>
      </w:r>
      <w:r w:rsidRPr="00AD4C47">
        <w:t xml:space="preserve">of </w:t>
      </w:r>
      <w:r>
        <w:t xml:space="preserve">which </w:t>
      </w:r>
      <w:r w:rsidRPr="00AD4C47">
        <w:t xml:space="preserve">166 had used Turnitin.  </w:t>
      </w:r>
      <w:r>
        <w:t>This represents a response rate of 2%</w:t>
      </w:r>
      <w:r>
        <w:rPr>
          <w:rStyle w:val="FootnoteReference"/>
        </w:rPr>
        <w:footnoteReference w:id="6"/>
      </w:r>
      <w:r>
        <w:t xml:space="preserve"> of all students.  All Faculties were represented with most responses from Social and Applied Sciences (128/367) and least from Business and Management (34/367).  All levels of study were represented with most responses from Level 4 (126/367) and least from Level 8/Doctoral (27/367).  </w:t>
      </w:r>
    </w:p>
    <w:p w:rsidR="00DA0AEA" w:rsidRDefault="00DA0AEA">
      <w:pPr>
        <w:spacing w:before="0" w:after="200"/>
        <w:rPr>
          <w:rFonts w:asciiTheme="majorHAnsi" w:eastAsiaTheme="majorEastAsia" w:hAnsiTheme="majorHAnsi" w:cstheme="majorBidi"/>
          <w:b/>
          <w:bCs/>
          <w:color w:val="4F81BD" w:themeColor="accent1"/>
        </w:rPr>
      </w:pPr>
      <w:r>
        <w:br w:type="page"/>
      </w:r>
    </w:p>
    <w:p w:rsidR="00C030C9" w:rsidRDefault="00C030C9" w:rsidP="00C030C9">
      <w:pPr>
        <w:pStyle w:val="Heading3"/>
      </w:pPr>
      <w:r>
        <w:lastRenderedPageBreak/>
        <w:t xml:space="preserve">Student </w:t>
      </w:r>
      <w:r w:rsidR="007E3129">
        <w:t>Follow-up Questionnaire via E-mail</w:t>
      </w:r>
    </w:p>
    <w:p w:rsidR="0033440D" w:rsidRDefault="00E61380" w:rsidP="0033440D">
      <w:r>
        <w:t xml:space="preserve">Resource constraints prevented physical interviews with students.  </w:t>
      </w:r>
      <w:r w:rsidR="003545BA">
        <w:t>However</w:t>
      </w:r>
      <w:r>
        <w:t xml:space="preserve">, further data was gathered in the </w:t>
      </w:r>
      <w:r w:rsidR="00A021B4">
        <w:t xml:space="preserve">form of a detailed questionnaire.  </w:t>
      </w:r>
      <w:r>
        <w:t>S</w:t>
      </w:r>
      <w:r w:rsidR="00A021B4">
        <w:t>tudents were selected a</w:t>
      </w:r>
      <w:r w:rsidR="003545BA">
        <w:t xml:space="preserve">s a representative sample from </w:t>
      </w:r>
      <w:r w:rsidR="00A021B4">
        <w:t xml:space="preserve">survey </w:t>
      </w:r>
      <w:r w:rsidR="00DC230A">
        <w:t>Respondents</w:t>
      </w:r>
      <w:r w:rsidR="00A021B4">
        <w:t xml:space="preserve"> who volunteered</w:t>
      </w:r>
      <w:r w:rsidR="007C7B39">
        <w:t xml:space="preserve"> to be interviewed</w:t>
      </w:r>
      <w:r w:rsidR="0033440D">
        <w:t>.</w:t>
      </w:r>
      <w:r w:rsidR="00A021B4">
        <w:t xml:space="preserve">  </w:t>
      </w:r>
      <w:r w:rsidR="00140E82">
        <w:t xml:space="preserve">These </w:t>
      </w:r>
      <w:r w:rsidR="00A021B4">
        <w:t xml:space="preserve">were e-mailed </w:t>
      </w:r>
      <w:r w:rsidR="00140E82">
        <w:t>a</w:t>
      </w:r>
      <w:r w:rsidR="00A021B4">
        <w:t xml:space="preserve"> Microsoft Word </w:t>
      </w:r>
      <w:r w:rsidR="00853B43">
        <w:t xml:space="preserve">template </w:t>
      </w:r>
      <w:r w:rsidR="00581725">
        <w:t xml:space="preserve">in which to </w:t>
      </w:r>
      <w:r w:rsidR="00A021B4">
        <w:t xml:space="preserve">write </w:t>
      </w:r>
      <w:r w:rsidR="00853B43">
        <w:t xml:space="preserve">about their knowledge and perceptions of university plagiarism policy </w:t>
      </w:r>
      <w:r w:rsidR="00140E82">
        <w:t>as well as education/</w:t>
      </w:r>
      <w:r w:rsidR="007C7B39">
        <w:t>support they have</w:t>
      </w:r>
      <w:r w:rsidR="00853B43">
        <w:t xml:space="preserve"> </w:t>
      </w:r>
      <w:r w:rsidR="00563996">
        <w:t>received</w:t>
      </w:r>
      <w:r w:rsidR="00853B43">
        <w:t xml:space="preserve"> to avoid </w:t>
      </w:r>
      <w:r w:rsidR="00923754">
        <w:t>p</w:t>
      </w:r>
      <w:r w:rsidR="007C7B39">
        <w:t>lagiarism.  Those students who had</w:t>
      </w:r>
      <w:r w:rsidR="00923754">
        <w:t xml:space="preserve"> used Turnitin were also asked about their experience</w:t>
      </w:r>
      <w:r w:rsidR="00563996">
        <w:t>s in detail</w:t>
      </w:r>
      <w:r w:rsidR="00923754">
        <w:t xml:space="preserve">.  </w:t>
      </w:r>
      <w:r w:rsidR="00581725">
        <w:t xml:space="preserve">The </w:t>
      </w:r>
      <w:r w:rsidR="00923754">
        <w:t xml:space="preserve">research project team </w:t>
      </w:r>
      <w:r w:rsidR="00581725">
        <w:t xml:space="preserve">asked </w:t>
      </w:r>
      <w:r w:rsidR="00140E82">
        <w:t xml:space="preserve">further </w:t>
      </w:r>
      <w:r w:rsidR="00A021B4">
        <w:t>follow-up questions/points for clarification</w:t>
      </w:r>
      <w:r w:rsidR="00581725">
        <w:t xml:space="preserve"> via e-mail</w:t>
      </w:r>
      <w:r w:rsidR="00A021B4">
        <w:t>.</w:t>
      </w:r>
      <w:r w:rsidR="00140E82">
        <w:t xml:space="preserve"> </w:t>
      </w:r>
      <w:r w:rsidR="00066C42">
        <w:t xml:space="preserve"> </w:t>
      </w:r>
      <w:r w:rsidR="003545BA">
        <w:t>On the advice of the SU, £10 amazon.co.uk vouchers w</w:t>
      </w:r>
      <w:r w:rsidR="006523AF">
        <w:t>ere offered for participation.</w:t>
      </w:r>
    </w:p>
    <w:p w:rsidR="006A2B37" w:rsidRDefault="006A2B37" w:rsidP="0033440D">
      <w:r>
        <w:t>34 students completed a follow-up questionnaire of which 21 had used Turnitin.</w:t>
      </w:r>
    </w:p>
    <w:p w:rsidR="00C030C9" w:rsidRDefault="00C030C9" w:rsidP="00C030C9">
      <w:pPr>
        <w:pStyle w:val="Heading3"/>
      </w:pPr>
      <w:r>
        <w:t>Turnitin Submission Statistics</w:t>
      </w:r>
    </w:p>
    <w:p w:rsidR="00C030C9" w:rsidRDefault="007C2D97" w:rsidP="00C030C9">
      <w:r>
        <w:t xml:space="preserve">Turnitin maintains statistics of numbers of staff and student users and numbers of papers submitted by institution and by individual course areas in our Blackboard Virtual Learning Environment (VLE).  </w:t>
      </w:r>
    </w:p>
    <w:p w:rsidR="006A2B37" w:rsidRDefault="006A2B37" w:rsidP="00C030C9">
      <w:r>
        <w:t>Statistics were gathered for the period 26/04/04 – 17/01/11 to help assess extent of use.</w:t>
      </w:r>
    </w:p>
    <w:p w:rsidR="00882639" w:rsidRDefault="00882639" w:rsidP="00882639">
      <w:pPr>
        <w:pStyle w:val="Heading3"/>
      </w:pPr>
      <w:r>
        <w:t>Learning Technology Team Records</w:t>
      </w:r>
    </w:p>
    <w:p w:rsidR="006A2B37" w:rsidRDefault="000336AC" w:rsidP="001419A7">
      <w:r>
        <w:t xml:space="preserve">Although we do not formally monitor use of Turnitin, the </w:t>
      </w:r>
      <w:r w:rsidR="00D446A2">
        <w:t>central</w:t>
      </w:r>
      <w:r>
        <w:t xml:space="preserve"> learning technology team provide advice and guidance on its use and so maintain</w:t>
      </w:r>
      <w:r w:rsidR="003B14DA">
        <w:t xml:space="preserve"> a record of programmes they</w:t>
      </w:r>
      <w:r w:rsidR="007C7B39">
        <w:t xml:space="preserve"> hav</w:t>
      </w:r>
      <w:r w:rsidR="003B14DA">
        <w:t xml:space="preserve">e </w:t>
      </w:r>
      <w:r>
        <w:t xml:space="preserve">supported.  </w:t>
      </w:r>
    </w:p>
    <w:p w:rsidR="001419A7" w:rsidRDefault="001F1BAA" w:rsidP="001419A7">
      <w:r>
        <w:t xml:space="preserve">These were </w:t>
      </w:r>
      <w:r w:rsidR="006A2B37">
        <w:t xml:space="preserve">updated and correlated </w:t>
      </w:r>
      <w:r>
        <w:t xml:space="preserve">to </w:t>
      </w:r>
      <w:r w:rsidR="000336AC">
        <w:t xml:space="preserve">help assess the extent of use and to suggest </w:t>
      </w:r>
      <w:r w:rsidR="00FB205A">
        <w:t xml:space="preserve">further </w:t>
      </w:r>
      <w:r w:rsidR="000336AC">
        <w:t>interview candidates</w:t>
      </w:r>
      <w:r w:rsidR="00FB205A">
        <w:t>.</w:t>
      </w:r>
    </w:p>
    <w:p w:rsidR="001F1BAA" w:rsidRDefault="001F1BAA" w:rsidP="001F1BAA">
      <w:pPr>
        <w:pStyle w:val="Heading1"/>
      </w:pPr>
      <w:bookmarkStart w:id="8" w:name="_Toc293559129"/>
      <w:bookmarkStart w:id="9" w:name="_Toc294165546"/>
      <w:r>
        <w:t>Findings</w:t>
      </w:r>
      <w:bookmarkEnd w:id="8"/>
      <w:bookmarkEnd w:id="9"/>
    </w:p>
    <w:p w:rsidR="00574C8A" w:rsidRDefault="00574C8A" w:rsidP="00574C8A">
      <w:pPr>
        <w:pStyle w:val="Heading3"/>
      </w:pPr>
      <w:r>
        <w:t>Extent of Use of Turnitin</w:t>
      </w:r>
    </w:p>
    <w:p w:rsidR="00574C8A" w:rsidRPr="00D81FE3" w:rsidRDefault="00574C8A" w:rsidP="00574C8A">
      <w:r w:rsidRPr="00D81FE3">
        <w:t>Turnitin is in use by 5000</w:t>
      </w:r>
      <w:r w:rsidR="00563996">
        <w:t>+</w:t>
      </w:r>
      <w:r w:rsidRPr="00D81FE3">
        <w:t xml:space="preserve"> students in around 40 programmes in 17 or more of the 23 teaching departments across all </w:t>
      </w:r>
      <w:r>
        <w:t>five f</w:t>
      </w:r>
      <w:r w:rsidRPr="00D81FE3">
        <w:t xml:space="preserve">aculties.  There is planned use for around 1500 more students in at least a further 10 programmes, including a further </w:t>
      </w:r>
      <w:r>
        <w:t>three</w:t>
      </w:r>
      <w:r w:rsidRPr="00D81FE3">
        <w:t xml:space="preserve"> teaching departments.</w:t>
      </w:r>
    </w:p>
    <w:p w:rsidR="00574C8A" w:rsidRPr="00170910" w:rsidRDefault="00574C8A" w:rsidP="00574C8A">
      <w:r>
        <w:t xml:space="preserve">These numbers are </w:t>
      </w:r>
      <w:r w:rsidRPr="00D81FE3">
        <w:t xml:space="preserve">consistent </w:t>
      </w:r>
      <w:r w:rsidR="00DA0AEA">
        <w:t xml:space="preserve">with </w:t>
      </w:r>
      <w:r>
        <w:t xml:space="preserve">central learning technology team records and </w:t>
      </w:r>
      <w:r w:rsidRPr="00D81FE3">
        <w:t>Turnitin submission st</w:t>
      </w:r>
      <w:r>
        <w:t xml:space="preserve">atistics which show a total of 26271 </w:t>
      </w:r>
      <w:r w:rsidRPr="00D81FE3">
        <w:t>originality reports produced to date with the majority - 19563 – in the 12 months</w:t>
      </w:r>
      <w:r>
        <w:t xml:space="preserve"> to 18/01/11</w:t>
      </w:r>
      <w:r w:rsidRPr="00D81FE3">
        <w:t>.</w:t>
      </w:r>
    </w:p>
    <w:p w:rsidR="00574C8A" w:rsidRDefault="00B45565" w:rsidP="00574C8A">
      <w:pPr>
        <w:pStyle w:val="Heading3"/>
      </w:pPr>
      <w:r>
        <w:t>Perceptions of</w:t>
      </w:r>
      <w:r w:rsidR="00574C8A">
        <w:t xml:space="preserve"> the Plagiarism Policy</w:t>
      </w:r>
      <w:r w:rsidR="007D2A18">
        <w:t xml:space="preserve"> and How Turnitin Relates to It</w:t>
      </w:r>
    </w:p>
    <w:p w:rsidR="00866C7A" w:rsidRDefault="00866C7A" w:rsidP="00866C7A">
      <w:r>
        <w:t xml:space="preserve">All (62/62) staff, and almost all (344/367) students, surveyed report they are aware of the </w:t>
      </w:r>
      <w:r w:rsidR="0036290C">
        <w:t>p</w:t>
      </w:r>
      <w:r>
        <w:t xml:space="preserve">lagiarism </w:t>
      </w:r>
      <w:r w:rsidR="0036290C">
        <w:t>p</w:t>
      </w:r>
      <w:r>
        <w:t xml:space="preserve">olicy, however only around half of each feel they fully understand it.  </w:t>
      </w:r>
    </w:p>
    <w:p w:rsidR="00866C7A" w:rsidRPr="008A4BD9" w:rsidRDefault="00866C7A" w:rsidP="00866C7A">
      <w:r>
        <w:t xml:space="preserve">Around two thirds of </w:t>
      </w:r>
      <w:r w:rsidRPr="008A4BD9">
        <w:t xml:space="preserve">students interviewed </w:t>
      </w:r>
      <w:r>
        <w:t xml:space="preserve">describe </w:t>
      </w:r>
      <w:r w:rsidR="008D3098">
        <w:t>the u</w:t>
      </w:r>
      <w:r w:rsidRPr="008A4BD9">
        <w:t xml:space="preserve">niversity’s approach to plagiarism as </w:t>
      </w:r>
      <w:r>
        <w:t xml:space="preserve">being </w:t>
      </w:r>
      <w:r w:rsidRPr="008A4BD9">
        <w:t xml:space="preserve">mainly about standards, definitions and </w:t>
      </w:r>
      <w:r>
        <w:t>rigour</w:t>
      </w:r>
      <w:r w:rsidRPr="008A4BD9">
        <w:t xml:space="preserve"> </w:t>
      </w:r>
      <w:r w:rsidR="00563996">
        <w:t xml:space="preserve">as opposed to </w:t>
      </w:r>
      <w:r w:rsidRPr="008A4BD9">
        <w:t xml:space="preserve">actively helping them to avoid </w:t>
      </w:r>
      <w:r>
        <w:t xml:space="preserve">it. </w:t>
      </w:r>
    </w:p>
    <w:p w:rsidR="00866C7A" w:rsidRPr="0093778D" w:rsidRDefault="00866C7A" w:rsidP="00866C7A">
      <w:pPr>
        <w:ind w:left="720"/>
        <w:rPr>
          <w:i/>
        </w:rPr>
      </w:pPr>
      <w:r w:rsidRPr="0093778D">
        <w:rPr>
          <w:i/>
        </w:rPr>
        <w:t>My understanding is that the University take a very strong stance when plagiarism is concerned, this can lead to movement through the disciplinary hierach</w:t>
      </w:r>
      <w:r w:rsidR="004631F1">
        <w:rPr>
          <w:i/>
        </w:rPr>
        <w:t xml:space="preserve"> [sic]</w:t>
      </w:r>
      <w:r w:rsidRPr="0093778D">
        <w:rPr>
          <w:i/>
        </w:rPr>
        <w:t>, removal of work from submission and of the student from the program.</w:t>
      </w:r>
    </w:p>
    <w:p w:rsidR="0065287B" w:rsidRDefault="00866C7A" w:rsidP="0065287B">
      <w:pPr>
        <w:ind w:left="720"/>
      </w:pPr>
      <w:r w:rsidRPr="0093778D">
        <w:rPr>
          <w:i/>
        </w:rPr>
        <w:t>I think it is really good that they take it very seriously; some of the talks we had are a bit scary, but students need that so that they don't just ‘copy and paste' articles and quotes.</w:t>
      </w:r>
      <w:r w:rsidR="0065287B">
        <w:br w:type="page"/>
      </w:r>
    </w:p>
    <w:p w:rsidR="00866C7A" w:rsidRPr="008A4BD9" w:rsidRDefault="00866C7A" w:rsidP="00866C7A">
      <w:r>
        <w:lastRenderedPageBreak/>
        <w:t xml:space="preserve">Around a third </w:t>
      </w:r>
      <w:r w:rsidRPr="008A4BD9">
        <w:t>describe the approac</w:t>
      </w:r>
      <w:r>
        <w:t>h as more educative.</w:t>
      </w:r>
    </w:p>
    <w:p w:rsidR="00866C7A" w:rsidRPr="0093778D" w:rsidRDefault="00866C7A" w:rsidP="00866C7A">
      <w:pPr>
        <w:ind w:left="720"/>
        <w:rPr>
          <w:i/>
        </w:rPr>
      </w:pPr>
      <w:r w:rsidRPr="0093778D">
        <w:rPr>
          <w:i/>
        </w:rPr>
        <w:t>It teaches me how to avoid it.  It encourages me to read more and support my ideas with empirical evidence.</w:t>
      </w:r>
    </w:p>
    <w:p w:rsidR="00866C7A" w:rsidRPr="008A4BD9" w:rsidRDefault="00866C7A" w:rsidP="00866C7A">
      <w:r>
        <w:t>However, when asked almost al</w:t>
      </w:r>
      <w:r w:rsidR="008D3098">
        <w:t>l students were aware that the u</w:t>
      </w:r>
      <w:r>
        <w:t xml:space="preserve">niversity’s approach combined education with </w:t>
      </w:r>
      <w:r w:rsidRPr="008A4BD9">
        <w:t>detect</w:t>
      </w:r>
      <w:r>
        <w:t>ion</w:t>
      </w:r>
      <w:r w:rsidRPr="008A4BD9">
        <w:t xml:space="preserve"> and punish</w:t>
      </w:r>
      <w:r>
        <w:t>ment</w:t>
      </w:r>
      <w:r w:rsidRPr="008A4BD9">
        <w:t xml:space="preserve">.  </w:t>
      </w:r>
    </w:p>
    <w:p w:rsidR="00866C7A" w:rsidRDefault="00866C7A" w:rsidP="00866C7A">
      <w:r>
        <w:t xml:space="preserve">Less than half the </w:t>
      </w:r>
      <w:r w:rsidR="0036290C">
        <w:t>staff interviewed</w:t>
      </w:r>
      <w:r>
        <w:t xml:space="preserve"> felt they understood the plagiarism policy.  Staff talk more about the procedures for dealing with alleged plagiarism than about the </w:t>
      </w:r>
      <w:r w:rsidR="0036290C">
        <w:t>p</w:t>
      </w:r>
      <w:r>
        <w:t xml:space="preserve">olicy itself.  </w:t>
      </w:r>
      <w:r w:rsidR="004631F1">
        <w:t xml:space="preserve">Although they understand the essence of the policy – that the university does not condone plagiarism, but seeks to educate rather than punish – it is clear many, if not most, are not aware of a separate policy document or perhaps see the procedures as more important for their day to day work.  </w:t>
      </w:r>
      <w:r>
        <w:t xml:space="preserve">It seemed that staff do not become involved with the </w:t>
      </w:r>
      <w:r w:rsidR="0036290C">
        <w:t>p</w:t>
      </w:r>
      <w:r>
        <w:t xml:space="preserve">olicy until they are involved in a plagiarism panel. </w:t>
      </w:r>
      <w:r w:rsidR="0036290C">
        <w:t xml:space="preserve"> </w:t>
      </w:r>
      <w:r>
        <w:t>Most</w:t>
      </w:r>
      <w:r w:rsidR="0036290C">
        <w:t xml:space="preserve"> interviewed </w:t>
      </w:r>
      <w:r>
        <w:t xml:space="preserve">understand the </w:t>
      </w:r>
      <w:r w:rsidR="0036290C">
        <w:t xml:space="preserve">university’s </w:t>
      </w:r>
      <w:r>
        <w:t>increasingly educational approach to dealing with plagiarism and are supportive of this.  A small number do not and feel the new approach is too lenient and that allowing students who may have plagiarised resubmissions without penalty is unfair to other students.</w:t>
      </w:r>
    </w:p>
    <w:p w:rsidR="0036290C" w:rsidRPr="0036290C" w:rsidRDefault="009B3F67" w:rsidP="00866C7A">
      <w:pPr>
        <w:rPr>
          <w:b/>
        </w:rPr>
      </w:pPr>
      <w:r>
        <w:rPr>
          <w:b/>
        </w:rPr>
        <w:t>Turnitin</w:t>
      </w:r>
    </w:p>
    <w:p w:rsidR="00574C8A" w:rsidRDefault="004D726A" w:rsidP="00574C8A">
      <w:r>
        <w:t xml:space="preserve">Most </w:t>
      </w:r>
      <w:r w:rsidR="00796672">
        <w:t>students</w:t>
      </w:r>
      <w:r w:rsidR="007C7D99">
        <w:t xml:space="preserve"> (266/367)</w:t>
      </w:r>
      <w:r w:rsidR="00796672">
        <w:t>, and almost all staff</w:t>
      </w:r>
      <w:r w:rsidR="007C7D99">
        <w:t xml:space="preserve"> (61/62)</w:t>
      </w:r>
      <w:r w:rsidR="00796672">
        <w:t>, surveyed have heard of Turnitin</w:t>
      </w:r>
      <w:r w:rsidR="00574C8A">
        <w:t>.</w:t>
      </w:r>
      <w:r w:rsidR="00136DB8">
        <w:t xml:space="preserve">  </w:t>
      </w:r>
      <w:r w:rsidR="00796672">
        <w:t xml:space="preserve">Around three quarters </w:t>
      </w:r>
      <w:r w:rsidR="002E407D">
        <w:t xml:space="preserve">or more </w:t>
      </w:r>
      <w:r w:rsidR="00796672">
        <w:t>of students (121/166)</w:t>
      </w:r>
      <w:r w:rsidR="002E407D">
        <w:t xml:space="preserve"> and staff (31/39) </w:t>
      </w:r>
      <w:r w:rsidR="00796672">
        <w:t xml:space="preserve">using Turnitin report they fully understand the </w:t>
      </w:r>
      <w:r w:rsidR="00E87CD8">
        <w:t>educate-</w:t>
      </w:r>
      <w:r w:rsidR="00796672">
        <w:t>first approach to using it</w:t>
      </w:r>
      <w:r w:rsidR="00136DB8">
        <w:t>.  A</w:t>
      </w:r>
      <w:r w:rsidR="002E407D">
        <w:t xml:space="preserve">lmost all the remainder </w:t>
      </w:r>
      <w:r w:rsidR="007C7D99">
        <w:t xml:space="preserve">are </w:t>
      </w:r>
      <w:r w:rsidR="002E407D">
        <w:t xml:space="preserve">at least partly aware.  </w:t>
      </w:r>
    </w:p>
    <w:p w:rsidR="00574C8A" w:rsidRDefault="00574C8A" w:rsidP="00574C8A">
      <w:r>
        <w:t>Asked about the</w:t>
      </w:r>
      <w:r w:rsidR="007C7D99">
        <w:t>ir</w:t>
      </w:r>
      <w:r>
        <w:t xml:space="preserve"> perceived aims for using Turnitin, students surveyed who use it see it </w:t>
      </w:r>
      <w:r w:rsidRPr="009C411D">
        <w:t xml:space="preserve">as being </w:t>
      </w:r>
      <w:r>
        <w:t>more about detection (79%) and deterrence (54%) than education to avoid plagiarism (45%) and helping improve academic skills (33%).  However, perceptions vary across levels of study, particularly at Level 4.  Fewer Level 4 students perceive it to be about detection (65%) than other levels (83%-88%) and more about education to avoid plagiarism (55%) compared with other levels (32%-46%).</w:t>
      </w:r>
      <w:r w:rsidR="006C30CF">
        <w:t xml:space="preserve">  I</w:t>
      </w:r>
      <w:r>
        <w:t xml:space="preserve">nterviews indicate </w:t>
      </w:r>
      <w:r w:rsidR="00913591">
        <w:t xml:space="preserve">students who use </w:t>
      </w:r>
      <w:r>
        <w:t xml:space="preserve">Turnitin </w:t>
      </w:r>
      <w:r w:rsidRPr="009C411D">
        <w:t xml:space="preserve">welcome </w:t>
      </w:r>
      <w:r w:rsidR="00913591">
        <w:t>education as well as detection and deterrence</w:t>
      </w:r>
      <w:r>
        <w:t xml:space="preserve">.  </w:t>
      </w:r>
      <w:r w:rsidR="00452AE6">
        <w:t>T</w:t>
      </w:r>
      <w:r w:rsidRPr="002026E7">
        <w:t xml:space="preserve">he education aspect of the </w:t>
      </w:r>
      <w:r w:rsidR="004B6271">
        <w:t>p</w:t>
      </w:r>
      <w:r w:rsidRPr="002026E7">
        <w:t xml:space="preserve">lagiarism </w:t>
      </w:r>
      <w:r w:rsidR="004B6271">
        <w:t>p</w:t>
      </w:r>
      <w:r w:rsidRPr="002026E7">
        <w:t>olicy stands out as a stronger messa</w:t>
      </w:r>
      <w:r w:rsidR="00DA0AEA">
        <w:t>ge for students interviewed who ha</w:t>
      </w:r>
      <w:r w:rsidRPr="002026E7">
        <w:t xml:space="preserve">ve used </w:t>
      </w:r>
      <w:r>
        <w:t>it</w:t>
      </w:r>
      <w:r w:rsidRPr="002026E7">
        <w:t>.</w:t>
      </w:r>
      <w:r>
        <w:t xml:space="preserve">   </w:t>
      </w:r>
    </w:p>
    <w:p w:rsidR="001A74EA" w:rsidRPr="0093778D" w:rsidRDefault="001A74EA" w:rsidP="001A74EA">
      <w:pPr>
        <w:tabs>
          <w:tab w:val="center" w:pos="5233"/>
        </w:tabs>
        <w:rPr>
          <w:i/>
        </w:rPr>
      </w:pPr>
      <w:r w:rsidRPr="009C411D">
        <w:t xml:space="preserve">Around </w:t>
      </w:r>
      <w:r>
        <w:t xml:space="preserve">half of staff surveyed who use Turnitin see it </w:t>
      </w:r>
      <w:r w:rsidRPr="009C411D">
        <w:t xml:space="preserve">as mainly educational, around half </w:t>
      </w:r>
      <w:r>
        <w:t xml:space="preserve">mainly </w:t>
      </w:r>
      <w:r w:rsidRPr="009C411D">
        <w:t>for detection</w:t>
      </w:r>
      <w:r w:rsidR="00DA0AEA">
        <w:t>/deterrence, but often recognising</w:t>
      </w:r>
      <w:r>
        <w:t xml:space="preserve"> both</w:t>
      </w:r>
      <w:r w:rsidR="00DA0AEA">
        <w:t xml:space="preserve"> aims</w:t>
      </w:r>
      <w:r>
        <w:t>.  Interviews indicate t</w:t>
      </w:r>
      <w:r w:rsidRPr="009C411D">
        <w:t xml:space="preserve">here is a general agreement </w:t>
      </w:r>
      <w:r>
        <w:t xml:space="preserve">amongst staff </w:t>
      </w:r>
      <w:r w:rsidRPr="009C411D">
        <w:t>with the policy of formative use early on</w:t>
      </w:r>
      <w:r w:rsidR="00DA0AEA">
        <w:t xml:space="preserve"> in programmes</w:t>
      </w:r>
      <w:r w:rsidRPr="009C411D">
        <w:t xml:space="preserve">.  </w:t>
      </w:r>
      <w:r w:rsidR="00A96648">
        <w:t>Staff interviewed who were using Turnitin in their programmes tend to view the education of students about plagiarism and the use of Turnitin as very important, introducing it early in programmes as an important element of study skills.  A</w:t>
      </w:r>
      <w:r w:rsidR="00A96648" w:rsidRPr="009C411D">
        <w:t xml:space="preserve"> number of staff said that education about plagiarism </w:t>
      </w:r>
      <w:r w:rsidR="00DA0AEA">
        <w:t xml:space="preserve">can be </w:t>
      </w:r>
      <w:r w:rsidR="00A96648" w:rsidRPr="009C411D">
        <w:t xml:space="preserve">an issue for students even at </w:t>
      </w:r>
      <w:r w:rsidR="00A96648">
        <w:t>M</w:t>
      </w:r>
      <w:r w:rsidR="00A96648" w:rsidRPr="009C411D">
        <w:t xml:space="preserve">asters and </w:t>
      </w:r>
      <w:r w:rsidR="00A96648">
        <w:t>Doctoral level.  However, there were indications that a few lecturers see Turnitin as a tool that works in isolation, rather than something that they can use within/to support their teaching.</w:t>
      </w:r>
    </w:p>
    <w:p w:rsidR="004431F2" w:rsidRDefault="004431F2" w:rsidP="004431F2">
      <w:pPr>
        <w:pStyle w:val="Heading3"/>
      </w:pPr>
      <w:r>
        <w:t>Strategies for Using Turnitin</w:t>
      </w:r>
    </w:p>
    <w:p w:rsidR="004431F2" w:rsidRDefault="0036290C" w:rsidP="004431F2">
      <w:r>
        <w:t xml:space="preserve">All data </w:t>
      </w:r>
      <w:r w:rsidR="002350C4">
        <w:t>indicate</w:t>
      </w:r>
      <w:r>
        <w:t>s</w:t>
      </w:r>
      <w:r w:rsidR="002350C4">
        <w:t xml:space="preserve"> t</w:t>
      </w:r>
      <w:r w:rsidR="004431F2">
        <w:t>he requirements of the</w:t>
      </w:r>
      <w:r w:rsidR="00072FF1">
        <w:t xml:space="preserve"> plagiarism policy are being fulfilled:</w:t>
      </w:r>
    </w:p>
    <w:p w:rsidR="004431F2" w:rsidRDefault="004431F2" w:rsidP="004431F2">
      <w:pPr>
        <w:pStyle w:val="ListParagraph"/>
        <w:numPr>
          <w:ilvl w:val="0"/>
          <w:numId w:val="7"/>
        </w:numPr>
        <w:spacing w:line="240" w:lineRule="auto"/>
      </w:pPr>
      <w:r>
        <w:t xml:space="preserve">all students taking a given assignment are being asked to submit, not just individual students </w:t>
      </w:r>
    </w:p>
    <w:p w:rsidR="004431F2" w:rsidRDefault="004431F2" w:rsidP="004431F2">
      <w:pPr>
        <w:pStyle w:val="ListParagraph"/>
        <w:numPr>
          <w:ilvl w:val="0"/>
          <w:numId w:val="7"/>
        </w:numPr>
        <w:spacing w:line="240" w:lineRule="auto"/>
      </w:pPr>
      <w:r>
        <w:t xml:space="preserve">briefings are given up front, almost always in lectures with supporting handbook information in around a third of cases. </w:t>
      </w:r>
    </w:p>
    <w:p w:rsidR="004431F2" w:rsidRDefault="004431F2" w:rsidP="004431F2">
      <w:pPr>
        <w:pStyle w:val="ListParagraph"/>
        <w:numPr>
          <w:ilvl w:val="0"/>
          <w:numId w:val="7"/>
        </w:numPr>
        <w:spacing w:line="240" w:lineRule="auto"/>
      </w:pPr>
      <w:r>
        <w:t xml:space="preserve">students are getting formative experiences; over half of students are able to submit a draft for their formative experience; around a third are shown an example originality report by their tutors.  </w:t>
      </w:r>
    </w:p>
    <w:p w:rsidR="0065287B" w:rsidRDefault="00574C8A" w:rsidP="0065287B">
      <w:r>
        <w:t>Although the policy requires only an initial formative experience as a minimum, t</w:t>
      </w:r>
      <w:r w:rsidR="004431F2" w:rsidRPr="0075077D">
        <w:t xml:space="preserve">here is evidence of </w:t>
      </w:r>
      <w:r w:rsidR="004431F2" w:rsidRPr="00C3624F">
        <w:rPr>
          <w:i/>
        </w:rPr>
        <w:t>ongoing</w:t>
      </w:r>
      <w:r w:rsidR="004431F2" w:rsidRPr="0075077D">
        <w:t xml:space="preserve"> </w:t>
      </w:r>
      <w:r w:rsidR="005D6693">
        <w:t>educational</w:t>
      </w:r>
      <w:r w:rsidR="004431F2" w:rsidRPr="0075077D">
        <w:t xml:space="preserve"> use</w:t>
      </w:r>
      <w:r w:rsidR="004431F2">
        <w:t xml:space="preserve"> of Turnitin.  </w:t>
      </w:r>
      <w:r w:rsidR="00A96648">
        <w:t>S</w:t>
      </w:r>
      <w:r w:rsidR="004431F2">
        <w:t>tudent</w:t>
      </w:r>
      <w:r w:rsidR="00A96648">
        <w:t>s</w:t>
      </w:r>
      <w:r w:rsidR="004431F2">
        <w:t xml:space="preserve"> survey</w:t>
      </w:r>
      <w:r w:rsidR="00A96648">
        <w:t>ed</w:t>
      </w:r>
      <w:r w:rsidR="004431F2">
        <w:t xml:space="preserve"> </w:t>
      </w:r>
      <w:r w:rsidR="00A96648">
        <w:t>indicate around a third</w:t>
      </w:r>
      <w:r w:rsidR="004431F2">
        <w:t xml:space="preserve"> (54/166) were able to see their originali</w:t>
      </w:r>
      <w:r w:rsidR="00A96648">
        <w:t xml:space="preserve">ty report for final submissions on an ongoing basis.  </w:t>
      </w:r>
      <w:r w:rsidR="0065287B">
        <w:br w:type="page"/>
      </w:r>
    </w:p>
    <w:p w:rsidR="004431F2" w:rsidRDefault="00A96648" w:rsidP="004431F2">
      <w:r>
        <w:lastRenderedPageBreak/>
        <w:t xml:space="preserve">However, the survey is </w:t>
      </w:r>
      <w:r w:rsidR="004431F2">
        <w:t xml:space="preserve">unclear on ongoing ability to submit drafts.  </w:t>
      </w:r>
      <w:r w:rsidR="00C3624F">
        <w:t xml:space="preserve">Over half </w:t>
      </w:r>
      <w:r w:rsidR="004431F2">
        <w:t>(13/21) of students interviewed who use Turnitin reported ongoing educational use, representing almost half (8/18) of the programmes covered.  This breaks down as:</w:t>
      </w:r>
    </w:p>
    <w:p w:rsidR="004431F2" w:rsidRDefault="004431F2" w:rsidP="004431F2">
      <w:pPr>
        <w:pStyle w:val="ListParagraph"/>
        <w:numPr>
          <w:ilvl w:val="0"/>
          <w:numId w:val="8"/>
        </w:numPr>
        <w:spacing w:line="240" w:lineRule="auto"/>
      </w:pPr>
      <w:r>
        <w:t xml:space="preserve">students </w:t>
      </w:r>
      <w:r w:rsidR="00770A02">
        <w:t xml:space="preserve">on at </w:t>
      </w:r>
      <w:r>
        <w:t xml:space="preserve">least 7/18 of the programmes covered being able to view their originality report for their final submissions.  </w:t>
      </w:r>
    </w:p>
    <w:p w:rsidR="004431F2" w:rsidRDefault="004431F2" w:rsidP="004431F2">
      <w:pPr>
        <w:pStyle w:val="ListParagraph"/>
        <w:numPr>
          <w:ilvl w:val="0"/>
          <w:numId w:val="8"/>
        </w:numPr>
        <w:spacing w:line="240" w:lineRule="auto"/>
      </w:pPr>
      <w:r>
        <w:t xml:space="preserve">students </w:t>
      </w:r>
      <w:r w:rsidR="00770A02">
        <w:t xml:space="preserve">on </w:t>
      </w:r>
      <w:r>
        <w:t xml:space="preserve">at least 3/18 programmes covered being able to submit a draft for every assignment </w:t>
      </w:r>
    </w:p>
    <w:p w:rsidR="00E71075" w:rsidRDefault="002350C4" w:rsidP="00E71075">
      <w:r>
        <w:t xml:space="preserve">Staff interviews indicate a similar level of </w:t>
      </w:r>
      <w:r w:rsidR="00E71075">
        <w:t xml:space="preserve">ongoing </w:t>
      </w:r>
      <w:r w:rsidR="005D6693">
        <w:t>educational</w:t>
      </w:r>
      <w:r w:rsidR="00E71075">
        <w:t xml:space="preserve"> use.  Where not already established, there is consideration/planning on several programmes for allowing draft submissions beyond the initial formative experience.</w:t>
      </w:r>
    </w:p>
    <w:p w:rsidR="00170910" w:rsidRDefault="00574C8A" w:rsidP="00170910">
      <w:pPr>
        <w:pStyle w:val="Heading3"/>
      </w:pPr>
      <w:r>
        <w:t>Level of Satisfaction - Students</w:t>
      </w:r>
    </w:p>
    <w:p w:rsidR="00170910" w:rsidRDefault="009B7F65" w:rsidP="00170910">
      <w:pPr>
        <w:tabs>
          <w:tab w:val="center" w:pos="5233"/>
        </w:tabs>
      </w:pPr>
      <w:r>
        <w:t>The majority</w:t>
      </w:r>
      <w:r w:rsidR="00170910" w:rsidRPr="009C411D">
        <w:t xml:space="preserve"> </w:t>
      </w:r>
      <w:r w:rsidR="00170910">
        <w:t xml:space="preserve">(109/156) </w:t>
      </w:r>
      <w:r w:rsidR="00170910" w:rsidRPr="009C411D">
        <w:t>of students</w:t>
      </w:r>
      <w:r w:rsidR="00170910">
        <w:t xml:space="preserve"> surveyed</w:t>
      </w:r>
      <w:r w:rsidR="00170910" w:rsidRPr="009C411D">
        <w:t xml:space="preserve"> </w:t>
      </w:r>
      <w:r w:rsidR="00170910">
        <w:t>who use Turnitin are</w:t>
      </w:r>
      <w:r w:rsidR="00170910" w:rsidRPr="009C411D">
        <w:t xml:space="preserve"> </w:t>
      </w:r>
      <w:r w:rsidR="00170910">
        <w:t xml:space="preserve">either very </w:t>
      </w:r>
      <w:r w:rsidR="00170910" w:rsidRPr="009C411D">
        <w:t>positive</w:t>
      </w:r>
      <w:r w:rsidR="00170910">
        <w:t xml:space="preserve"> or more positive than negative</w:t>
      </w:r>
      <w:r w:rsidR="00170910" w:rsidRPr="009C411D">
        <w:t xml:space="preserve">, </w:t>
      </w:r>
      <w:r>
        <w:t xml:space="preserve">with most of the remainder </w:t>
      </w:r>
      <w:r w:rsidR="00170910">
        <w:t>(39/156) neutral</w:t>
      </w:r>
      <w:r>
        <w:t xml:space="preserve">.  Very few </w:t>
      </w:r>
      <w:r w:rsidR="00170910">
        <w:t xml:space="preserve">(8/156) </w:t>
      </w:r>
      <w:r>
        <w:t xml:space="preserve">are </w:t>
      </w:r>
      <w:r w:rsidR="00170910">
        <w:t xml:space="preserve">very </w:t>
      </w:r>
      <w:r w:rsidR="00170910" w:rsidRPr="009C411D">
        <w:t xml:space="preserve">negative </w:t>
      </w:r>
      <w:r w:rsidR="00170910">
        <w:t>or more negative than positive.</w:t>
      </w:r>
      <w:r w:rsidR="004D207E">
        <w:t xml:space="preserve">  </w:t>
      </w:r>
      <w:r>
        <w:t>The majority of</w:t>
      </w:r>
      <w:r w:rsidR="00170910" w:rsidRPr="009C411D">
        <w:t xml:space="preserve"> </w:t>
      </w:r>
      <w:r w:rsidR="00170910">
        <w:t xml:space="preserve">(163/196) </w:t>
      </w:r>
      <w:r w:rsidR="00DA0AEA">
        <w:t>of students who do not</w:t>
      </w:r>
      <w:r w:rsidR="00170910" w:rsidRPr="009C411D">
        <w:t xml:space="preserve"> </w:t>
      </w:r>
      <w:r w:rsidR="00170910">
        <w:t xml:space="preserve">use Turnitin </w:t>
      </w:r>
      <w:r w:rsidR="00170910" w:rsidRPr="009C411D">
        <w:t xml:space="preserve">are </w:t>
      </w:r>
      <w:r w:rsidR="00170910">
        <w:t>either fully willing, or willing wit</w:t>
      </w:r>
      <w:r>
        <w:t>h some reservations</w:t>
      </w:r>
      <w:r w:rsidR="00DA0AEA">
        <w:t>, to do so</w:t>
      </w:r>
      <w:r w:rsidR="004D207E">
        <w:t>.</w:t>
      </w:r>
    </w:p>
    <w:p w:rsidR="00170910" w:rsidRDefault="00170910" w:rsidP="00170910">
      <w:pPr>
        <w:tabs>
          <w:tab w:val="center" w:pos="5233"/>
        </w:tabs>
      </w:pPr>
      <w:r>
        <w:t xml:space="preserve">Both surveys and interviews indicate a small but significant proportion of students </w:t>
      </w:r>
      <w:r w:rsidRPr="009C411D">
        <w:t xml:space="preserve">can be anxious about Turnitin matching </w:t>
      </w:r>
      <w:r>
        <w:t>properly referenced quotations</w:t>
      </w:r>
      <w:r w:rsidRPr="009C411D">
        <w:t xml:space="preserve">, common knowledge and phrases, </w:t>
      </w:r>
      <w:r>
        <w:t xml:space="preserve">technical language etc. </w:t>
      </w:r>
      <w:r w:rsidRPr="009C411D">
        <w:t xml:space="preserve">and want more guidance on interpreting originality reports.  </w:t>
      </w:r>
    </w:p>
    <w:p w:rsidR="00170910" w:rsidRPr="0093778D" w:rsidRDefault="00170910" w:rsidP="00170910">
      <w:pPr>
        <w:tabs>
          <w:tab w:val="center" w:pos="5233"/>
        </w:tabs>
        <w:ind w:left="720"/>
        <w:rPr>
          <w:i/>
        </w:rPr>
      </w:pPr>
      <w:r w:rsidRPr="0093778D">
        <w:rPr>
          <w:i/>
        </w:rPr>
        <w:t>It's useful in detecting plagiarism, but is to broad; work could look plagiarised from simple sentences/words that more than one person may use.</w:t>
      </w:r>
    </w:p>
    <w:p w:rsidR="00170910" w:rsidRDefault="00170910" w:rsidP="00170910">
      <w:pPr>
        <w:tabs>
          <w:tab w:val="center" w:pos="5233"/>
        </w:tabs>
        <w:ind w:left="720"/>
        <w:rPr>
          <w:i/>
        </w:rPr>
      </w:pPr>
      <w:r w:rsidRPr="0093778D">
        <w:rPr>
          <w:i/>
        </w:rPr>
        <w:t>When writing on a limited subject area, or for example if a problme [sic] question was given where everyone was writing about the same thing, it detected a lot of sentences as plagiarised as all the other students were using the same words or phrases.</w:t>
      </w:r>
    </w:p>
    <w:p w:rsidR="00DA0AEA" w:rsidRPr="0093778D" w:rsidRDefault="00DA0AEA" w:rsidP="00170910">
      <w:pPr>
        <w:tabs>
          <w:tab w:val="center" w:pos="5233"/>
        </w:tabs>
        <w:ind w:left="720"/>
        <w:rPr>
          <w:i/>
        </w:rPr>
      </w:pPr>
      <w:r w:rsidRPr="00DA0AEA">
        <w:rPr>
          <w:i/>
        </w:rPr>
        <w:t>Its a good program, but it is additional stress to add, such as - 'is my originality report less ten 20%' although i always reference correctly, you still panic, especcially [sic] with so many students doing the same piece of work, you have to get in submitting your work before others as the title will be the same, and will be picked up through turnitin and will add to the report percentage.</w:t>
      </w:r>
    </w:p>
    <w:p w:rsidR="00170910" w:rsidRDefault="00170910" w:rsidP="00170910">
      <w:pPr>
        <w:tabs>
          <w:tab w:val="center" w:pos="5233"/>
        </w:tabs>
      </w:pPr>
      <w:r>
        <w:t xml:space="preserve">There is a wider demand for ongoing </w:t>
      </w:r>
      <w:r w:rsidR="005D6693">
        <w:t>educational</w:t>
      </w:r>
      <w:r>
        <w:t xml:space="preserve"> use.  However the overall level of demand is difficult to gauge as the survey and interview questions did</w:t>
      </w:r>
      <w:r w:rsidR="00DA0AEA">
        <w:t xml:space="preserve"> not</w:t>
      </w:r>
      <w:r>
        <w:t xml:space="preserve"> ask this directly.  What we do know is that, of students surveyed who volunteered a comment, </w:t>
      </w:r>
      <w:r w:rsidR="003E2EFA">
        <w:t>around a quarter</w:t>
      </w:r>
      <w:r>
        <w:t xml:space="preserve"> (8/33) </w:t>
      </w:r>
      <w:r w:rsidR="003E2EFA">
        <w:t xml:space="preserve">of students who use Turnitin, </w:t>
      </w:r>
      <w:r>
        <w:t xml:space="preserve">and </w:t>
      </w:r>
      <w:r w:rsidR="003E2EFA">
        <w:t xml:space="preserve">a fifth </w:t>
      </w:r>
      <w:r w:rsidRPr="0071601C">
        <w:t xml:space="preserve">(14/66) </w:t>
      </w:r>
      <w:r w:rsidR="003E2EFA">
        <w:t xml:space="preserve">of </w:t>
      </w:r>
      <w:r w:rsidR="00DA0AEA">
        <w:t>who do no</w:t>
      </w:r>
      <w:r>
        <w:t xml:space="preserve">t, say they value </w:t>
      </w:r>
      <w:r w:rsidR="003E2EFA">
        <w:t xml:space="preserve">it </w:t>
      </w:r>
      <w:r>
        <w:t xml:space="preserve">for their own education.  </w:t>
      </w:r>
    </w:p>
    <w:p w:rsidR="00170910" w:rsidRPr="0093778D" w:rsidRDefault="00170910" w:rsidP="00170910">
      <w:pPr>
        <w:tabs>
          <w:tab w:val="center" w:pos="5233"/>
        </w:tabs>
        <w:ind w:left="720"/>
        <w:rPr>
          <w:i/>
        </w:rPr>
      </w:pPr>
      <w:r w:rsidRPr="0093778D">
        <w:rPr>
          <w:i/>
        </w:rPr>
        <w:t>It has been fine to use and pretty clear in its use. In our first year we were are able to send drafts for originalty [sic] reports, however I believe our second and third years we are not allowed. It would be nice to continue to be able to do so as it was useful learning aid and would continue to be so in the future.</w:t>
      </w:r>
    </w:p>
    <w:p w:rsidR="00170910" w:rsidRPr="0093778D" w:rsidRDefault="00170910" w:rsidP="00170910">
      <w:pPr>
        <w:tabs>
          <w:tab w:val="center" w:pos="5233"/>
        </w:tabs>
        <w:ind w:left="720"/>
        <w:rPr>
          <w:i/>
        </w:rPr>
      </w:pPr>
      <w:r w:rsidRPr="0093778D">
        <w:rPr>
          <w:i/>
        </w:rPr>
        <w:t>it would be helpful if we actually got to see the reports that are run on our submitted work. Then it will actually be a learning experience as opposed to a hoop we have to jump through.</w:t>
      </w:r>
    </w:p>
    <w:p w:rsidR="00170910" w:rsidRPr="0093778D" w:rsidRDefault="00170910" w:rsidP="00170910">
      <w:pPr>
        <w:tabs>
          <w:tab w:val="center" w:pos="5233"/>
        </w:tabs>
        <w:ind w:left="720"/>
        <w:rPr>
          <w:i/>
        </w:rPr>
      </w:pPr>
      <w:r w:rsidRPr="0093778D">
        <w:rPr>
          <w:i/>
        </w:rPr>
        <w:t xml:space="preserve"> Anyway to improve the quality of my essay is a good thing.</w:t>
      </w:r>
    </w:p>
    <w:p w:rsidR="00170910" w:rsidRPr="0093778D" w:rsidRDefault="00170910" w:rsidP="00170910">
      <w:pPr>
        <w:tabs>
          <w:tab w:val="center" w:pos="5233"/>
        </w:tabs>
        <w:ind w:left="720"/>
        <w:rPr>
          <w:i/>
        </w:rPr>
      </w:pPr>
      <w:r w:rsidRPr="0093778D">
        <w:rPr>
          <w:i/>
        </w:rPr>
        <w:t>It will help me to learn more about the style of writing, how to reference properly and to avoid using too many quotations; so I believe it will improve my work.</w:t>
      </w:r>
    </w:p>
    <w:p w:rsidR="00170910" w:rsidRPr="0093778D" w:rsidRDefault="00170910" w:rsidP="00170910">
      <w:pPr>
        <w:tabs>
          <w:tab w:val="center" w:pos="5233"/>
        </w:tabs>
        <w:ind w:left="720"/>
        <w:rPr>
          <w:i/>
        </w:rPr>
      </w:pPr>
      <w:r w:rsidRPr="0093778D">
        <w:rPr>
          <w:i/>
        </w:rPr>
        <w:t>Sounds like a good idea. Often worry if i accidentaly [sic] forget to reference a quote.</w:t>
      </w:r>
    </w:p>
    <w:p w:rsidR="0065287B" w:rsidRDefault="0065287B">
      <w:pPr>
        <w:spacing w:before="0" w:after="200"/>
      </w:pPr>
      <w:r>
        <w:br w:type="page"/>
      </w:r>
    </w:p>
    <w:p w:rsidR="00170910" w:rsidRDefault="004631F1" w:rsidP="00170910">
      <w:pPr>
        <w:tabs>
          <w:tab w:val="center" w:pos="5233"/>
        </w:tabs>
      </w:pPr>
      <w:r>
        <w:lastRenderedPageBreak/>
        <w:t>This is supported by most stud</w:t>
      </w:r>
      <w:r w:rsidR="00DA0AEA">
        <w:t>ents (10/13) interviewed who do no</w:t>
      </w:r>
      <w:r>
        <w:t xml:space="preserve">t use Turnitin who would welcome its use.     </w:t>
      </w:r>
    </w:p>
    <w:p w:rsidR="00170910" w:rsidRPr="0093778D" w:rsidRDefault="00170910" w:rsidP="00170910">
      <w:pPr>
        <w:tabs>
          <w:tab w:val="center" w:pos="5233"/>
        </w:tabs>
        <w:ind w:left="720"/>
        <w:rPr>
          <w:i/>
        </w:rPr>
      </w:pPr>
      <w:r w:rsidRPr="0093778D">
        <w:rPr>
          <w:i/>
        </w:rPr>
        <w:t>Yes, of course, it would tell me if I used expressions/sentences/ideas that have already ben [sic] said by someone else.</w:t>
      </w:r>
    </w:p>
    <w:p w:rsidR="00170910" w:rsidRPr="0093778D" w:rsidRDefault="00170910" w:rsidP="00170910">
      <w:pPr>
        <w:tabs>
          <w:tab w:val="center" w:pos="5233"/>
        </w:tabs>
        <w:ind w:left="720"/>
        <w:rPr>
          <w:i/>
        </w:rPr>
      </w:pPr>
      <w:r w:rsidRPr="0093778D">
        <w:rPr>
          <w:i/>
        </w:rPr>
        <w:t>If I understand it correctly, the programme aims to help students to avoid plagiarism, so it must be a positive help.</w:t>
      </w:r>
    </w:p>
    <w:p w:rsidR="00170910" w:rsidRDefault="00574C8A" w:rsidP="00170910">
      <w:pPr>
        <w:pStyle w:val="Heading3"/>
      </w:pPr>
      <w:r>
        <w:t>Level of Satisfaction</w:t>
      </w:r>
      <w:r w:rsidR="00012524">
        <w:t xml:space="preserve"> - </w:t>
      </w:r>
      <w:r w:rsidR="00170910" w:rsidRPr="009C411D">
        <w:t>Staff</w:t>
      </w:r>
    </w:p>
    <w:p w:rsidR="00574C8A" w:rsidRDefault="004D207E" w:rsidP="003E2EFA">
      <w:pPr>
        <w:tabs>
          <w:tab w:val="center" w:pos="5233"/>
        </w:tabs>
      </w:pPr>
      <w:r>
        <w:t>The majority</w:t>
      </w:r>
      <w:r w:rsidR="00170910" w:rsidRPr="009C411D">
        <w:t xml:space="preserve"> </w:t>
      </w:r>
      <w:r w:rsidR="00170910">
        <w:t xml:space="preserve">(33/39) </w:t>
      </w:r>
      <w:r w:rsidR="00170910" w:rsidRPr="009C411D">
        <w:t xml:space="preserve">of staff </w:t>
      </w:r>
      <w:r w:rsidR="00170910">
        <w:t xml:space="preserve">survey respondents who </w:t>
      </w:r>
      <w:r w:rsidR="00170910" w:rsidRPr="009C411D">
        <w:t xml:space="preserve">have used Turnitin are </w:t>
      </w:r>
      <w:r w:rsidR="00170910">
        <w:t xml:space="preserve">either very positive, or more positive than negative, </w:t>
      </w:r>
      <w:r w:rsidR="00170910" w:rsidRPr="009C411D">
        <w:t xml:space="preserve">about their experience, </w:t>
      </w:r>
      <w:r w:rsidR="00DA0AEA">
        <w:t xml:space="preserve">with </w:t>
      </w:r>
      <w:r>
        <w:t>some</w:t>
      </w:r>
      <w:r w:rsidR="00170910">
        <w:t xml:space="preserve"> (5/39) neutral and </w:t>
      </w:r>
      <w:r w:rsidR="00DA0AEA">
        <w:t>only one Respondent</w:t>
      </w:r>
      <w:r w:rsidR="00170910">
        <w:t xml:space="preserve"> more negative than positive.  </w:t>
      </w:r>
      <w:r>
        <w:t>Almost all</w:t>
      </w:r>
      <w:r w:rsidR="00170910" w:rsidRPr="009C411D">
        <w:t xml:space="preserve"> </w:t>
      </w:r>
      <w:r w:rsidR="00170910">
        <w:t xml:space="preserve">(20/23) </w:t>
      </w:r>
      <w:r w:rsidR="00170910" w:rsidRPr="009C411D">
        <w:t xml:space="preserve">staff who have not used Turnitin would be </w:t>
      </w:r>
      <w:r w:rsidR="00170910">
        <w:t>either fully willing, or willing with some reservations, to use it</w:t>
      </w:r>
      <w:r>
        <w:t>.</w:t>
      </w:r>
      <w:r w:rsidR="003E2EFA">
        <w:t xml:space="preserve"> </w:t>
      </w:r>
    </w:p>
    <w:p w:rsidR="00170910" w:rsidRDefault="00170910" w:rsidP="00170910">
      <w:pPr>
        <w:tabs>
          <w:tab w:val="center" w:pos="5233"/>
        </w:tabs>
      </w:pPr>
      <w:r w:rsidRPr="009C411D">
        <w:t xml:space="preserve">In use for detection, staff value Turnitin </w:t>
      </w:r>
      <w:r>
        <w:t>enabling them to detect plagiarism more quickly than having to use Google.</w:t>
      </w:r>
      <w:r w:rsidRPr="009C411D">
        <w:t xml:space="preserve">  However, a small number commented on the amount of effort needed to set up Turnitin and to monitor/read originality reports as being a waste of time.</w:t>
      </w:r>
    </w:p>
    <w:p w:rsidR="00170910" w:rsidRPr="0093778D" w:rsidRDefault="00170910" w:rsidP="00170910">
      <w:pPr>
        <w:tabs>
          <w:tab w:val="center" w:pos="5233"/>
        </w:tabs>
        <w:ind w:left="720"/>
        <w:rPr>
          <w:i/>
        </w:rPr>
      </w:pPr>
      <w:r w:rsidRPr="0093778D">
        <w:rPr>
          <w:i/>
        </w:rPr>
        <w:t>It is very useful in confirming suspicions or the reverse, although of course it can’t show whether the ‘plagiarism’ was intentional or not, that can be followed up by the lecturer.</w:t>
      </w:r>
    </w:p>
    <w:p w:rsidR="00170910" w:rsidRPr="0093778D" w:rsidRDefault="00170910" w:rsidP="00170910">
      <w:pPr>
        <w:tabs>
          <w:tab w:val="center" w:pos="5233"/>
        </w:tabs>
        <w:ind w:left="720"/>
        <w:rPr>
          <w:i/>
        </w:rPr>
      </w:pPr>
      <w:r w:rsidRPr="0093778D">
        <w:rPr>
          <w:i/>
        </w:rPr>
        <w:t>Turnitin is an obvious time-saver for markers and discourages plagiarism simply by being there.</w:t>
      </w:r>
    </w:p>
    <w:p w:rsidR="00170910" w:rsidRPr="009C5923" w:rsidRDefault="00170910" w:rsidP="00170910">
      <w:pPr>
        <w:tabs>
          <w:tab w:val="center" w:pos="5233"/>
        </w:tabs>
      </w:pPr>
      <w:r>
        <w:t xml:space="preserve">Some staff interviewed </w:t>
      </w:r>
      <w:r w:rsidRPr="009C411D">
        <w:t xml:space="preserve">commented on the need for greater consistency in use from </w:t>
      </w:r>
      <w:r w:rsidR="008D3098">
        <w:t>programme to framework to even u</w:t>
      </w:r>
      <w:r w:rsidRPr="009C411D">
        <w:t xml:space="preserve">niversity level.  This includes whether used or not as well as </w:t>
      </w:r>
      <w:r w:rsidRPr="008C2648">
        <w:rPr>
          <w:i/>
        </w:rPr>
        <w:t xml:space="preserve">how </w:t>
      </w:r>
      <w:r w:rsidRPr="009C411D">
        <w:t xml:space="preserve">used e.g. enable drafts, see </w:t>
      </w:r>
      <w:r>
        <w:t xml:space="preserve">originality reports </w:t>
      </w:r>
      <w:r w:rsidRPr="009C411D">
        <w:t>for final submissions.</w:t>
      </w:r>
      <w:r>
        <w:t xml:space="preserve">  M</w:t>
      </w:r>
      <w:r w:rsidRPr="009C411D">
        <w:t xml:space="preserve">ost agreed with the increasingly formative approach. </w:t>
      </w:r>
      <w:r w:rsidR="003E2EFA">
        <w:t xml:space="preserve">  S</w:t>
      </w:r>
      <w:r w:rsidRPr="009C411D">
        <w:t>everal commented on the potential for ongoing drafts.</w:t>
      </w:r>
      <w:r>
        <w:t xml:space="preserve">  </w:t>
      </w:r>
    </w:p>
    <w:p w:rsidR="004431F2" w:rsidRDefault="002578E8" w:rsidP="004431F2">
      <w:pPr>
        <w:pStyle w:val="Heading3"/>
      </w:pPr>
      <w:r>
        <w:t>Impact of Using Turnitin on</w:t>
      </w:r>
      <w:r w:rsidR="004431F2">
        <w:t xml:space="preserve"> Education</w:t>
      </w:r>
      <w:r w:rsidR="00381F83">
        <w:t xml:space="preserve"> to Avoid Plagiarism</w:t>
      </w:r>
    </w:p>
    <w:p w:rsidR="004431F2" w:rsidRPr="003961E1" w:rsidRDefault="009B3F67" w:rsidP="004431F2">
      <w:r>
        <w:t>Over half</w:t>
      </w:r>
      <w:r w:rsidR="004431F2">
        <w:t xml:space="preserve"> (12/21) </w:t>
      </w:r>
      <w:r w:rsidR="004431F2" w:rsidRPr="003961E1">
        <w:t>of students interviewed who use Turnitin say it has helped them avoid plagiarism.</w:t>
      </w:r>
      <w:r>
        <w:t xml:space="preserve">  </w:t>
      </w:r>
      <w:r w:rsidR="004431F2" w:rsidRPr="003961E1">
        <w:t xml:space="preserve">Furthermore, </w:t>
      </w:r>
      <w:r w:rsidR="00DC230A">
        <w:t xml:space="preserve">almost half </w:t>
      </w:r>
      <w:r w:rsidR="004431F2">
        <w:t xml:space="preserve">(9/21) report that </w:t>
      </w:r>
      <w:r w:rsidR="004431F2" w:rsidRPr="003961E1">
        <w:t xml:space="preserve">it has helped improve their referencing </w:t>
      </w:r>
      <w:r w:rsidR="004431F2">
        <w:t xml:space="preserve">and </w:t>
      </w:r>
      <w:r w:rsidR="00DC230A">
        <w:t xml:space="preserve">almost </w:t>
      </w:r>
      <w:r>
        <w:t xml:space="preserve">a third </w:t>
      </w:r>
      <w:r w:rsidR="004431F2">
        <w:t xml:space="preserve">(6/21) </w:t>
      </w:r>
      <w:r>
        <w:t xml:space="preserve">that it </w:t>
      </w:r>
      <w:r w:rsidR="004431F2">
        <w:t xml:space="preserve">improved </w:t>
      </w:r>
      <w:r w:rsidR="004431F2" w:rsidRPr="003961E1">
        <w:t>their writing generally.</w:t>
      </w:r>
      <w:r>
        <w:t xml:space="preserve">  </w:t>
      </w:r>
      <w:r w:rsidR="004431F2">
        <w:t xml:space="preserve">All (6/6) of the students who regard themselves less confident about avoiding plagiarism report that Turnitin helped them.  </w:t>
      </w:r>
    </w:p>
    <w:p w:rsidR="004431F2" w:rsidRDefault="004431F2" w:rsidP="004431F2">
      <w:r>
        <w:t xml:space="preserve">Perhaps surprisingly, there is no correlation between ongoing </w:t>
      </w:r>
      <w:r w:rsidR="005D6693">
        <w:t>educational</w:t>
      </w:r>
      <w:r>
        <w:t xml:space="preserve"> use of Turnitin and students reporting it has helped them to avoid plagiarism.  Students were as likely to report Turnitin has helped them avoid plagiarism for programmes that have an initial formative experience only as for programmes which provide ongoing access to originality reports or draft opportunities.  </w:t>
      </w:r>
    </w:p>
    <w:p w:rsidR="004431F2" w:rsidRDefault="004431F2" w:rsidP="004431F2">
      <w:r>
        <w:t xml:space="preserve">The student survey did not ask </w:t>
      </w:r>
      <w:r w:rsidR="007C7D99">
        <w:t xml:space="preserve">directly </w:t>
      </w:r>
      <w:r>
        <w:t>about the impact of using Turnitin</w:t>
      </w:r>
      <w:r w:rsidR="00214A80">
        <w:t xml:space="preserve">.  </w:t>
      </w:r>
      <w:r w:rsidR="009B3F67">
        <w:t xml:space="preserve"> </w:t>
      </w:r>
      <w:r w:rsidR="00214A80">
        <w:t xml:space="preserve">However, </w:t>
      </w:r>
      <w:r w:rsidR="00A412E2">
        <w:t xml:space="preserve">a quarter </w:t>
      </w:r>
      <w:r w:rsidRPr="00EE31DD">
        <w:t xml:space="preserve">(8/33) </w:t>
      </w:r>
      <w:r w:rsidR="00A412E2">
        <w:t xml:space="preserve">of </w:t>
      </w:r>
      <w:r w:rsidRPr="00EE31DD">
        <w:t xml:space="preserve">students </w:t>
      </w:r>
      <w:r>
        <w:t xml:space="preserve">surveyed who use Turnitin, and who commented on the survey, </w:t>
      </w:r>
      <w:r w:rsidRPr="00EE31DD">
        <w:t xml:space="preserve">explicitly </w:t>
      </w:r>
      <w:r>
        <w:t xml:space="preserve">referred to the </w:t>
      </w:r>
      <w:r w:rsidRPr="00EE31DD">
        <w:t>value of Turnitin to help them t</w:t>
      </w:r>
      <w:r>
        <w:t xml:space="preserve">o avoid plagiarism. </w:t>
      </w:r>
    </w:p>
    <w:p w:rsidR="004431F2" w:rsidRPr="0093778D" w:rsidRDefault="004431F2" w:rsidP="004431F2">
      <w:pPr>
        <w:ind w:left="720"/>
        <w:rPr>
          <w:i/>
        </w:rPr>
      </w:pPr>
      <w:r w:rsidRPr="0093778D">
        <w:rPr>
          <w:i/>
        </w:rPr>
        <w:t>It was helpful to see if there were any issues with my work that i needed to rephrase, reference or delete.</w:t>
      </w:r>
    </w:p>
    <w:p w:rsidR="004431F2" w:rsidRPr="0093778D" w:rsidRDefault="004431F2" w:rsidP="004431F2">
      <w:pPr>
        <w:ind w:left="720"/>
        <w:rPr>
          <w:i/>
        </w:rPr>
      </w:pPr>
      <w:r w:rsidRPr="0093778D">
        <w:rPr>
          <w:i/>
        </w:rPr>
        <w:t>at first it made me panic ut [sic] now i understand that it is a great tool to improve your academic writing.</w:t>
      </w:r>
    </w:p>
    <w:p w:rsidR="004431F2" w:rsidRPr="003961E1" w:rsidRDefault="004431F2" w:rsidP="004431F2">
      <w:r w:rsidRPr="003961E1">
        <w:t xml:space="preserve">Around half of staff surveyed who use Turnitin </w:t>
      </w:r>
      <w:r>
        <w:t xml:space="preserve">(39/62) </w:t>
      </w:r>
      <w:r w:rsidRPr="003961E1">
        <w:t>perceive it to have directly contributed to:</w:t>
      </w:r>
    </w:p>
    <w:p w:rsidR="004431F2" w:rsidRPr="003961E1" w:rsidRDefault="004431F2" w:rsidP="004431F2">
      <w:pPr>
        <w:pStyle w:val="ListParagraph"/>
        <w:numPr>
          <w:ilvl w:val="0"/>
          <w:numId w:val="9"/>
        </w:numPr>
      </w:pPr>
      <w:r>
        <w:t>reduced</w:t>
      </w:r>
      <w:r w:rsidRPr="003961E1">
        <w:t xml:space="preserve"> plagiarism</w:t>
      </w:r>
    </w:p>
    <w:p w:rsidR="004431F2" w:rsidRPr="003961E1" w:rsidRDefault="004431F2" w:rsidP="004431F2">
      <w:pPr>
        <w:pStyle w:val="ListParagraph"/>
        <w:numPr>
          <w:ilvl w:val="0"/>
          <w:numId w:val="9"/>
        </w:numPr>
      </w:pPr>
      <w:r w:rsidRPr="003961E1">
        <w:t>improved referencing</w:t>
      </w:r>
    </w:p>
    <w:p w:rsidR="004431F2" w:rsidRPr="003961E1" w:rsidRDefault="004431F2" w:rsidP="004431F2">
      <w:pPr>
        <w:pStyle w:val="ListParagraph"/>
        <w:numPr>
          <w:ilvl w:val="0"/>
          <w:numId w:val="9"/>
        </w:numPr>
      </w:pPr>
      <w:r w:rsidRPr="003961E1">
        <w:t>improved writing generally</w:t>
      </w:r>
    </w:p>
    <w:p w:rsidR="004431F2" w:rsidRDefault="004431F2" w:rsidP="004431F2">
      <w:r w:rsidRPr="003961E1">
        <w:lastRenderedPageBreak/>
        <w:t xml:space="preserve">in roughly equal measures.  </w:t>
      </w:r>
    </w:p>
    <w:p w:rsidR="004431F2" w:rsidRPr="0093778D" w:rsidRDefault="004431F2" w:rsidP="004431F2">
      <w:pPr>
        <w:ind w:left="720"/>
        <w:rPr>
          <w:i/>
        </w:rPr>
      </w:pPr>
      <w:r w:rsidRPr="0093778D">
        <w:rPr>
          <w:i/>
        </w:rPr>
        <w:t>Over the last three years it has reduced the amount of plagiarism being dealt with. Students fear it at first but also have clearer ideas of what they can and cannot do.</w:t>
      </w:r>
    </w:p>
    <w:p w:rsidR="004431F2" w:rsidRDefault="004431F2" w:rsidP="004431F2">
      <w:r>
        <w:t xml:space="preserve">In the interviews a small number of staff felt that some students deliberately referred to more obscure journals or conference papers that are not part of the Turnitin database to avoid detection. </w:t>
      </w:r>
    </w:p>
    <w:p w:rsidR="004431F2" w:rsidRPr="0093778D" w:rsidRDefault="004431F2" w:rsidP="004431F2">
      <w:pPr>
        <w:ind w:left="720"/>
        <w:rPr>
          <w:i/>
        </w:rPr>
      </w:pPr>
      <w:r w:rsidRPr="0093778D">
        <w:rPr>
          <w:i/>
        </w:rPr>
        <w:t>Sometimes I fear that it may encourage a ‘cleverer’ type of plagiarism for those students who want to cheat and realise that all they need to do is find more obscure textbooks that are not online.</w:t>
      </w:r>
    </w:p>
    <w:p w:rsidR="00C56D93" w:rsidRDefault="00C56D93" w:rsidP="00C56D93">
      <w:pPr>
        <w:pStyle w:val="Heading3"/>
      </w:pPr>
      <w:bookmarkStart w:id="10" w:name="_Toc293559130"/>
      <w:r>
        <w:t>Impact of Turnitin on Detection and Procedures for Dealing with Alleged Plagiarism</w:t>
      </w:r>
    </w:p>
    <w:p w:rsidR="00C56D93" w:rsidRDefault="00C56D93" w:rsidP="00C56D93">
      <w:r w:rsidRPr="00D81FE3">
        <w:t xml:space="preserve">To date, there has been no formal recording mechanism for the involvement of Turnitin </w:t>
      </w:r>
      <w:r w:rsidR="00C17736">
        <w:t xml:space="preserve">in </w:t>
      </w:r>
      <w:r w:rsidRPr="00D81FE3">
        <w:t xml:space="preserve">alleged cases of plagiarism.  </w:t>
      </w:r>
    </w:p>
    <w:p w:rsidR="00C56D93" w:rsidRDefault="00C56D93" w:rsidP="00C56D93">
      <w:r w:rsidRPr="00D81FE3">
        <w:t xml:space="preserve">Around </w:t>
      </w:r>
      <w:r>
        <w:t xml:space="preserve">half </w:t>
      </w:r>
      <w:r w:rsidRPr="00D81FE3">
        <w:t xml:space="preserve">(20/39) of teaching staff who responded to the survey, and who have used Turnitin, had direct experience of Turnitin leading to an alleged case of plagiarism.  </w:t>
      </w:r>
      <w:r>
        <w:t xml:space="preserve">This is consistent with staff interviews.   Over half staff surveyed (24/39) thought that it had increased detection by tutors of possible plagiarism. </w:t>
      </w:r>
    </w:p>
    <w:p w:rsidR="00C56D93" w:rsidRPr="004431F2" w:rsidRDefault="00C56D93" w:rsidP="00C56D93">
      <w:r w:rsidRPr="00D81FE3">
        <w:t xml:space="preserve">The Student Union </w:t>
      </w:r>
      <w:r>
        <w:t xml:space="preserve">maintains </w:t>
      </w:r>
      <w:r w:rsidRPr="00D81FE3">
        <w:t xml:space="preserve">records </w:t>
      </w:r>
      <w:r>
        <w:t xml:space="preserve">of </w:t>
      </w:r>
      <w:r w:rsidRPr="00D81FE3">
        <w:t xml:space="preserve">plagiarism cases referred to the Student Representation Coordinator and Advice Worker.  </w:t>
      </w:r>
      <w:r>
        <w:t xml:space="preserve">Records from 08/09 and 09/10 show 27% of cases (14 of 51) </w:t>
      </w:r>
      <w:r w:rsidRPr="00D81FE3">
        <w:t>have i</w:t>
      </w:r>
      <w:r>
        <w:t xml:space="preserve">nvolved Turnitin.  However, note that these only represent plagiarism cases </w:t>
      </w:r>
      <w:r w:rsidRPr="00D81FE3">
        <w:t>where students have requested help</w:t>
      </w:r>
      <w:r>
        <w:t xml:space="preserve"> from the SU</w:t>
      </w:r>
      <w:r w:rsidRPr="00D81FE3">
        <w:t>.</w:t>
      </w:r>
    </w:p>
    <w:p w:rsidR="00C56D93" w:rsidRDefault="00C56D93" w:rsidP="00C56D93">
      <w:r>
        <w:t>S</w:t>
      </w:r>
      <w:r w:rsidRPr="00D81FE3">
        <w:t xml:space="preserve">taff </w:t>
      </w:r>
      <w:r>
        <w:t xml:space="preserve">interviewed </w:t>
      </w:r>
      <w:r w:rsidRPr="00D81FE3">
        <w:t xml:space="preserve">comment that Turnitin </w:t>
      </w:r>
      <w:r>
        <w:t xml:space="preserve">aids the procedures for dealing with alleged plagiarism by </w:t>
      </w:r>
      <w:r w:rsidRPr="00D81FE3">
        <w:t>cut</w:t>
      </w:r>
      <w:r>
        <w:t xml:space="preserve">ting </w:t>
      </w:r>
      <w:r w:rsidRPr="00D81FE3">
        <w:t xml:space="preserve">down on the leg-work (e.g. </w:t>
      </w:r>
      <w:r>
        <w:t>Googling) of detection and providing</w:t>
      </w:r>
      <w:r w:rsidRPr="00D81FE3">
        <w:t xml:space="preserve"> documentary evidence for </w:t>
      </w:r>
      <w:r>
        <w:t xml:space="preserve">plagiarism panels.  </w:t>
      </w:r>
    </w:p>
    <w:p w:rsidR="00C56D93" w:rsidRPr="0093778D" w:rsidRDefault="00C56D93" w:rsidP="00C56D93">
      <w:pPr>
        <w:ind w:left="720"/>
        <w:rPr>
          <w:i/>
        </w:rPr>
      </w:pPr>
      <w:r w:rsidRPr="0093778D">
        <w:rPr>
          <w:i/>
        </w:rPr>
        <w:t>...it has been useful in identifying substantial plagiarism in a piece of work. The student is denying they plagiarised so this provides clear evidence and a basis for the initial discussion with the student.</w:t>
      </w:r>
    </w:p>
    <w:p w:rsidR="00C56D93" w:rsidRPr="0093778D" w:rsidRDefault="00C56D93" w:rsidP="00C56D93">
      <w:pPr>
        <w:ind w:left="720"/>
        <w:rPr>
          <w:i/>
        </w:rPr>
      </w:pPr>
      <w:r w:rsidRPr="0093778D">
        <w:rPr>
          <w:i/>
        </w:rPr>
        <w:t>Helped to sp</w:t>
      </w:r>
      <w:r>
        <w:rPr>
          <w:i/>
        </w:rPr>
        <w:t xml:space="preserve">ot all the minor plagiarism in </w:t>
      </w:r>
      <w:r w:rsidRPr="0093778D">
        <w:rPr>
          <w:i/>
        </w:rPr>
        <w:t>a report with large chunks of copied material. Better evidence.  It’s unlikely that the case would have been brought to my attention without Turnitin.</w:t>
      </w:r>
    </w:p>
    <w:p w:rsidR="00EF5B4F" w:rsidRDefault="00EF5B4F" w:rsidP="001404F9">
      <w:pPr>
        <w:pStyle w:val="Heading1"/>
      </w:pPr>
      <w:bookmarkStart w:id="11" w:name="_Toc294165547"/>
      <w:r>
        <w:t>Conclusions</w:t>
      </w:r>
      <w:bookmarkEnd w:id="10"/>
      <w:bookmarkEnd w:id="11"/>
    </w:p>
    <w:p w:rsidR="00E87CD8" w:rsidRDefault="00E87CD8" w:rsidP="00E87CD8">
      <w:r>
        <w:t xml:space="preserve">We conclude that Turnitin is effective in supporting the plagiarism policy.  </w:t>
      </w:r>
      <w:r w:rsidRPr="006933A7">
        <w:t xml:space="preserve"> </w:t>
      </w:r>
    </w:p>
    <w:p w:rsidR="001321E9" w:rsidRDefault="00B45565" w:rsidP="001404F9">
      <w:r w:rsidRPr="00B45565">
        <w:t>Turnitin</w:t>
      </w:r>
      <w:r w:rsidRPr="00B45565">
        <w:rPr>
          <w:b/>
        </w:rPr>
        <w:t xml:space="preserve"> </w:t>
      </w:r>
      <w:r w:rsidRPr="00B45565">
        <w:t xml:space="preserve">is used in most </w:t>
      </w:r>
      <w:r>
        <w:t xml:space="preserve">teaching </w:t>
      </w:r>
      <w:r w:rsidRPr="00B45565">
        <w:t>departments by a significant, growing minority of students.  Most activity has</w:t>
      </w:r>
      <w:r w:rsidR="006240AD">
        <w:t xml:space="preserve"> been in the last calendar year and use is growing.</w:t>
      </w:r>
    </w:p>
    <w:p w:rsidR="00B46E12" w:rsidRDefault="006240AD" w:rsidP="00E87CD8">
      <w:r>
        <w:t>S</w:t>
      </w:r>
      <w:r w:rsidR="00F419FE">
        <w:t xml:space="preserve">taff understand </w:t>
      </w:r>
      <w:r>
        <w:t xml:space="preserve">that </w:t>
      </w:r>
      <w:r w:rsidR="006138AD">
        <w:t xml:space="preserve">the university’s approach to plagiarism is educate-first, detect-and-punish second.  </w:t>
      </w:r>
      <w:r w:rsidR="002C2FDE">
        <w:t xml:space="preserve">However, </w:t>
      </w:r>
      <w:r w:rsidR="006138AD">
        <w:t xml:space="preserve">they typically confuse the </w:t>
      </w:r>
      <w:r w:rsidR="002C2FDE">
        <w:t xml:space="preserve">plagiarism policy </w:t>
      </w:r>
      <w:r w:rsidR="00CD3A92">
        <w:t xml:space="preserve">itself with the more specific, detailed </w:t>
      </w:r>
      <w:r w:rsidR="002C2FDE">
        <w:t>p</w:t>
      </w:r>
      <w:r w:rsidR="002C2FDE" w:rsidRPr="00B45565">
        <w:t xml:space="preserve">rocedures for </w:t>
      </w:r>
      <w:r w:rsidR="002C2FDE">
        <w:t>d</w:t>
      </w:r>
      <w:r w:rsidR="002C2FDE" w:rsidRPr="00B45565">
        <w:t xml:space="preserve">ealing with </w:t>
      </w:r>
      <w:r w:rsidR="002C2FDE">
        <w:t>a</w:t>
      </w:r>
      <w:r w:rsidR="002C2FDE" w:rsidRPr="00B45565">
        <w:t xml:space="preserve">lleged </w:t>
      </w:r>
      <w:r w:rsidR="002C2FDE">
        <w:t>p</w:t>
      </w:r>
      <w:r w:rsidR="002C2FDE" w:rsidRPr="00B45565">
        <w:t xml:space="preserve">lagiarism.  </w:t>
      </w:r>
      <w:r w:rsidR="006138AD">
        <w:t xml:space="preserve">We suggest their </w:t>
      </w:r>
      <w:r w:rsidR="00CD3A92">
        <w:t xml:space="preserve">understanding of </w:t>
      </w:r>
      <w:r w:rsidR="006138AD">
        <w:t xml:space="preserve">the </w:t>
      </w:r>
      <w:r w:rsidR="00CD3A92">
        <w:t>approach comes through advice</w:t>
      </w:r>
      <w:r w:rsidR="007C7D99">
        <w:t xml:space="preserve"> and guidance on using Turnitin, not </w:t>
      </w:r>
      <w:r w:rsidR="00CD3A92">
        <w:t>through familiarity with the policy document.</w:t>
      </w:r>
    </w:p>
    <w:p w:rsidR="00B45565" w:rsidRDefault="00395556" w:rsidP="00B45565">
      <w:r>
        <w:t xml:space="preserve">Students </w:t>
      </w:r>
      <w:r w:rsidR="00B46E12">
        <w:t xml:space="preserve">understand </w:t>
      </w:r>
      <w:r w:rsidR="004B7F83">
        <w:t xml:space="preserve">that </w:t>
      </w:r>
      <w:r w:rsidR="00B46E12">
        <w:t xml:space="preserve">the university’s approach </w:t>
      </w:r>
      <w:r w:rsidR="004B7F83">
        <w:t xml:space="preserve">to plagiarism </w:t>
      </w:r>
      <w:r w:rsidR="00B46E12">
        <w:t xml:space="preserve">combines </w:t>
      </w:r>
      <w:r>
        <w:t xml:space="preserve">education </w:t>
      </w:r>
      <w:r w:rsidR="00B46E12">
        <w:t xml:space="preserve">with </w:t>
      </w:r>
      <w:r w:rsidR="004B7F83">
        <w:t xml:space="preserve">detection.  However, they </w:t>
      </w:r>
      <w:r w:rsidR="00B46E12">
        <w:t xml:space="preserve">perceive </w:t>
      </w:r>
      <w:r w:rsidR="004B7F83">
        <w:t xml:space="preserve">detection more </w:t>
      </w:r>
      <w:r w:rsidR="00261014">
        <w:t>strongly</w:t>
      </w:r>
      <w:r w:rsidR="00F419FE">
        <w:t xml:space="preserve"> and are not familiar with the plagiarism policy itself.  </w:t>
      </w:r>
    </w:p>
    <w:p w:rsidR="00F419FE" w:rsidRDefault="00F419FE" w:rsidP="00F419FE">
      <w:r>
        <w:t xml:space="preserve">Plagiarism policy relating to Turnitin is being implemented by staff.  The minimum requirements for use of Turnitin within the policy are being fulfilled, including </w:t>
      </w:r>
      <w:r w:rsidR="006138AD">
        <w:t xml:space="preserve">whole group submission, no retrospective use and </w:t>
      </w:r>
      <w:r>
        <w:t xml:space="preserve">providing an initial formative experience.  Moreover, these requirements are being exceeded with </w:t>
      </w:r>
      <w:r w:rsidRPr="00B46E12">
        <w:rPr>
          <w:i/>
        </w:rPr>
        <w:t>ongoing</w:t>
      </w:r>
      <w:r>
        <w:t xml:space="preserve"> educational use in </w:t>
      </w:r>
      <w:r w:rsidR="00DC230A">
        <w:t>almost</w:t>
      </w:r>
      <w:r w:rsidRPr="004B18B0">
        <w:t xml:space="preserve"> ha</w:t>
      </w:r>
      <w:r>
        <w:t>lf of programmes using Turnitin</w:t>
      </w:r>
      <w:r w:rsidR="00FD65F6">
        <w:t xml:space="preserve"> and </w:t>
      </w:r>
      <w:r>
        <w:t>growing.</w:t>
      </w:r>
    </w:p>
    <w:p w:rsidR="0065287B" w:rsidRDefault="0065287B">
      <w:pPr>
        <w:spacing w:before="0" w:after="200"/>
      </w:pPr>
      <w:r>
        <w:br w:type="page"/>
      </w:r>
    </w:p>
    <w:p w:rsidR="006240AD" w:rsidRDefault="006240AD" w:rsidP="006240AD">
      <w:r>
        <w:lastRenderedPageBreak/>
        <w:t>S</w:t>
      </w:r>
      <w:r w:rsidRPr="00B45565">
        <w:t xml:space="preserve">taff and students </w:t>
      </w:r>
      <w:r>
        <w:t xml:space="preserve">who use Turnitin </w:t>
      </w:r>
      <w:r w:rsidRPr="00B45565">
        <w:t xml:space="preserve">perceive </w:t>
      </w:r>
      <w:r>
        <w:t xml:space="preserve">it </w:t>
      </w:r>
      <w:r w:rsidRPr="00B45565">
        <w:t xml:space="preserve">used for education as </w:t>
      </w:r>
      <w:r>
        <w:t xml:space="preserve">well as detection and value it for both.  Staff perceive a roughly equal balance, students </w:t>
      </w:r>
      <w:r w:rsidRPr="00B45565">
        <w:t xml:space="preserve">more for detection.  </w:t>
      </w:r>
      <w:r>
        <w:t>However, Level 4 students’ perception leans more towards education than at other levels.   We suggest this is a consequence of their formative experience/s.</w:t>
      </w:r>
    </w:p>
    <w:p w:rsidR="0074144C" w:rsidRDefault="00B45565" w:rsidP="006240AD">
      <w:r w:rsidRPr="00B45565">
        <w:t xml:space="preserve">More than 95% of staff and students </w:t>
      </w:r>
      <w:r w:rsidR="006138AD">
        <w:t xml:space="preserve">who use Turnitin </w:t>
      </w:r>
      <w:r w:rsidRPr="00B45565">
        <w:t xml:space="preserve">have a positive or neutral experience of </w:t>
      </w:r>
      <w:r w:rsidR="006138AD">
        <w:t>it</w:t>
      </w:r>
      <w:r w:rsidRPr="00B45565">
        <w:t xml:space="preserve">.  </w:t>
      </w:r>
      <w:r w:rsidR="006240AD" w:rsidRPr="00B45565">
        <w:t xml:space="preserve">Most current non-users are willing to use it.  </w:t>
      </w:r>
    </w:p>
    <w:p w:rsidR="006240AD" w:rsidRDefault="0074144C" w:rsidP="006240AD">
      <w:r>
        <w:t xml:space="preserve">On an education level, </w:t>
      </w:r>
      <w:r w:rsidR="006240AD" w:rsidRPr="00B45565">
        <w:t xml:space="preserve">Turnitin is widely valued by students and </w:t>
      </w:r>
      <w:r w:rsidR="006240AD">
        <w:t xml:space="preserve">we suggest </w:t>
      </w:r>
      <w:r w:rsidR="006240AD" w:rsidRPr="00B45565">
        <w:t xml:space="preserve">may help up to half to avoid plagiarising, particularly those less confident.   </w:t>
      </w:r>
      <w:r w:rsidR="00B45565" w:rsidRPr="00B45565">
        <w:t xml:space="preserve">There is some demand from students for more ongoing </w:t>
      </w:r>
      <w:r w:rsidR="005D6693">
        <w:t>educational</w:t>
      </w:r>
      <w:r w:rsidR="00B45565" w:rsidRPr="00B45565">
        <w:t xml:space="preserve"> use of Turnitin, particularly amongst those less confident about plagiarism.  The level of demand is hard to gauge without further research, but </w:t>
      </w:r>
      <w:r w:rsidR="006240AD">
        <w:t xml:space="preserve">we suggest </w:t>
      </w:r>
      <w:r w:rsidR="007C7D99">
        <w:t xml:space="preserve">it </w:t>
      </w:r>
      <w:r w:rsidR="006240AD">
        <w:t xml:space="preserve">is a </w:t>
      </w:r>
      <w:r w:rsidR="00B45565" w:rsidRPr="00B45565">
        <w:t>significant minority of students.</w:t>
      </w:r>
      <w:r w:rsidR="006240AD">
        <w:t xml:space="preserve">  However, t</w:t>
      </w:r>
      <w:r w:rsidR="006240AD" w:rsidRPr="00B45565">
        <w:t xml:space="preserve">here is currently no evidence that ongoing </w:t>
      </w:r>
      <w:r w:rsidR="005D6693">
        <w:t>educational</w:t>
      </w:r>
      <w:r w:rsidR="006240AD">
        <w:t xml:space="preserve"> approaches increase impact – but </w:t>
      </w:r>
      <w:r w:rsidR="006240AD" w:rsidRPr="00B45565">
        <w:t xml:space="preserve">note the </w:t>
      </w:r>
      <w:r w:rsidR="006240AD">
        <w:t xml:space="preserve">small interview sample </w:t>
      </w:r>
      <w:r w:rsidR="006240AD" w:rsidRPr="00B45565">
        <w:t>size</w:t>
      </w:r>
      <w:r w:rsidR="006240AD">
        <w:t xml:space="preserve">.  </w:t>
      </w:r>
      <w:r w:rsidR="006240AD" w:rsidRPr="00B45565">
        <w:t xml:space="preserve">  </w:t>
      </w:r>
    </w:p>
    <w:p w:rsidR="006E37B0" w:rsidRPr="00B45565" w:rsidRDefault="006E37B0" w:rsidP="00B45565">
      <w:r>
        <w:t xml:space="preserve">Students would welcome more explanation of originality reports and reassurance over matches of ‘fair’ material.  </w:t>
      </w:r>
    </w:p>
    <w:p w:rsidR="00C56D93" w:rsidRDefault="00C56D93" w:rsidP="00C56D93">
      <w:r>
        <w:t xml:space="preserve">On a detection level, </w:t>
      </w:r>
      <w:r w:rsidRPr="00B45565">
        <w:t xml:space="preserve">Turnitin </w:t>
      </w:r>
      <w:r>
        <w:t xml:space="preserve">appears to have been a </w:t>
      </w:r>
      <w:r w:rsidRPr="00B45565">
        <w:t xml:space="preserve">factor in detecting plagiarism in a significant minority of alleged cases.  </w:t>
      </w:r>
    </w:p>
    <w:p w:rsidR="00C376F4" w:rsidRDefault="00C376F4" w:rsidP="004B18B0">
      <w:r>
        <w:t xml:space="preserve">Finally, this research has raised some questions.  What is the level of demand for ongoing educational use of Turnitin?  We suggest a significant minority but we did not </w:t>
      </w:r>
      <w:r w:rsidR="007C7D99">
        <w:t xml:space="preserve">directly </w:t>
      </w:r>
      <w:r>
        <w:t xml:space="preserve">ask this. Is there a difference in impact on avoiding plagiarism for ongoing educational use of Turnitin compared with </w:t>
      </w:r>
      <w:r w:rsidR="007C7D99">
        <w:t xml:space="preserve">just </w:t>
      </w:r>
      <w:r>
        <w:t xml:space="preserve">the minimum requirement of an initial formative experience?  Our data suggest not, but this is based on a small sample size and we did not design the research to assess this explicitly.  </w:t>
      </w:r>
      <w:r w:rsidR="006946B0">
        <w:t xml:space="preserve">Other </w:t>
      </w:r>
      <w:r>
        <w:t>data show the numbers of plagiarism pa</w:t>
      </w:r>
      <w:r w:rsidR="006946B0">
        <w:t>nels are rising but we conclude</w:t>
      </w:r>
      <w:r>
        <w:t xml:space="preserve"> Turnitin helps reduce plagiarism.  How is this?  Are we detecting more of a reduced amount of plagiarism?</w:t>
      </w:r>
    </w:p>
    <w:p w:rsidR="004B18B0" w:rsidRPr="004B18B0" w:rsidRDefault="004B18B0" w:rsidP="004B18B0">
      <w:pPr>
        <w:rPr>
          <w:b/>
        </w:rPr>
      </w:pPr>
      <w:r w:rsidRPr="004B18B0">
        <w:rPr>
          <w:b/>
        </w:rPr>
        <w:t>Note</w:t>
      </w:r>
      <w:r>
        <w:rPr>
          <w:b/>
        </w:rPr>
        <w:t>:</w:t>
      </w:r>
    </w:p>
    <w:p w:rsidR="004B18B0" w:rsidRDefault="004B18B0" w:rsidP="004B18B0">
      <w:r>
        <w:t>These conclusions should be considered in the context of survey response rates (62 teaching staff=12%, 367 students=2%) and interview sample sizes (26 teaching staff=5%, 34 students=0.2%).  Although these represented all Faculties, levels of study and a wide range of staff roles, they cannot be considered significant in the context of a statistical analysis.  However, in the context of educational development in a higher ed</w:t>
      </w:r>
      <w:r w:rsidR="007C7D99">
        <w:t>ucation institution, experience</w:t>
      </w:r>
      <w:r>
        <w:t xml:space="preserve"> suggests this is as good a response as one might hope for.</w:t>
      </w:r>
    </w:p>
    <w:p w:rsidR="001A3194" w:rsidRDefault="00240B38" w:rsidP="001A3194">
      <w:pPr>
        <w:pStyle w:val="Heading1"/>
      </w:pPr>
      <w:bookmarkStart w:id="12" w:name="_Toc293559131"/>
      <w:bookmarkStart w:id="13" w:name="_Toc294165548"/>
      <w:r>
        <w:t>Recommendations</w:t>
      </w:r>
      <w:bookmarkEnd w:id="12"/>
      <w:bookmarkEnd w:id="13"/>
    </w:p>
    <w:p w:rsidR="00837BB6" w:rsidRDefault="004631F1" w:rsidP="004B7F83">
      <w:r>
        <w:t>As a result of this research, we have recommended to our Learning &amp; Teaching Committee:</w:t>
      </w:r>
    </w:p>
    <w:p w:rsidR="001A3194" w:rsidRDefault="00837BB6" w:rsidP="00096AD9">
      <w:pPr>
        <w:pStyle w:val="ListParagraph"/>
        <w:numPr>
          <w:ilvl w:val="0"/>
          <w:numId w:val="16"/>
        </w:numPr>
      </w:pPr>
      <w:r>
        <w:t xml:space="preserve">review the </w:t>
      </w:r>
      <w:r w:rsidR="001A3194">
        <w:t xml:space="preserve">plagiarism policy </w:t>
      </w:r>
      <w:r w:rsidR="001A3194" w:rsidRPr="004B18B0">
        <w:t xml:space="preserve">with respect to the use of Turnitin with a view to </w:t>
      </w:r>
      <w:r w:rsidR="00143529">
        <w:t>extending</w:t>
      </w:r>
      <w:r>
        <w:t xml:space="preserve"> use</w:t>
      </w:r>
      <w:r w:rsidR="00143529">
        <w:t>, particularly ongoing educational use</w:t>
      </w:r>
      <w:r>
        <w:t xml:space="preserve"> </w:t>
      </w:r>
    </w:p>
    <w:p w:rsidR="00837BB6" w:rsidRDefault="00143529" w:rsidP="00096AD9">
      <w:pPr>
        <w:pStyle w:val="ListParagraph"/>
        <w:numPr>
          <w:ilvl w:val="0"/>
          <w:numId w:val="16"/>
        </w:numPr>
      </w:pPr>
      <w:r>
        <w:t xml:space="preserve">further </w:t>
      </w:r>
      <w:r w:rsidR="00837BB6">
        <w:t>raise awareness</w:t>
      </w:r>
      <w:r>
        <w:t xml:space="preserve"> </w:t>
      </w:r>
      <w:r w:rsidR="00E87CD8">
        <w:t xml:space="preserve">of the </w:t>
      </w:r>
      <w:r w:rsidR="004B7F83">
        <w:t xml:space="preserve">educate-first approach </w:t>
      </w:r>
      <w:r w:rsidR="00E87CD8">
        <w:t xml:space="preserve">of the policy </w:t>
      </w:r>
      <w:r w:rsidR="004B7F83">
        <w:t>and the e</w:t>
      </w:r>
      <w:r w:rsidR="004B18B0" w:rsidRPr="004B18B0">
        <w:t>ducational potential of Turnitin</w:t>
      </w:r>
      <w:r>
        <w:t>, particularly amongst students</w:t>
      </w:r>
    </w:p>
    <w:p w:rsidR="004B18B0" w:rsidRPr="004B18B0" w:rsidRDefault="004B18B0" w:rsidP="00096AD9">
      <w:pPr>
        <w:pStyle w:val="ListParagraph"/>
        <w:numPr>
          <w:ilvl w:val="0"/>
          <w:numId w:val="16"/>
        </w:numPr>
      </w:pPr>
      <w:r w:rsidRPr="004B18B0">
        <w:t xml:space="preserve">provide enhanced guidance </w:t>
      </w:r>
      <w:r w:rsidR="00143529">
        <w:t>in</w:t>
      </w:r>
      <w:r w:rsidR="00143529" w:rsidRPr="004B18B0">
        <w:t xml:space="preserve"> interpreting originality reports </w:t>
      </w:r>
      <w:r w:rsidRPr="004B18B0">
        <w:t xml:space="preserve">for staff </w:t>
      </w:r>
      <w:r w:rsidR="00143529">
        <w:t xml:space="preserve">and students </w:t>
      </w:r>
    </w:p>
    <w:p w:rsidR="00C16301" w:rsidRDefault="00C32283" w:rsidP="00C16301">
      <w:r>
        <w:t>C</w:t>
      </w:r>
      <w:r w:rsidR="00656FA0">
        <w:t xml:space="preserve">onsideration might </w:t>
      </w:r>
      <w:r>
        <w:t xml:space="preserve">also </w:t>
      </w:r>
      <w:r w:rsidR="00656FA0">
        <w:t xml:space="preserve">be given to further research into the impact </w:t>
      </w:r>
      <w:r>
        <w:t xml:space="preserve">of ongoing educational use of Turnitin </w:t>
      </w:r>
      <w:r w:rsidR="00656FA0">
        <w:t xml:space="preserve">compared with </w:t>
      </w:r>
      <w:r>
        <w:t>just one initial formative experience followed by ongoing use for detection.</w:t>
      </w:r>
      <w:r w:rsidR="00656FA0">
        <w:t xml:space="preserve"> </w:t>
      </w:r>
    </w:p>
    <w:p w:rsidR="0065287B" w:rsidRDefault="0065287B">
      <w:pPr>
        <w:spacing w:before="0" w:after="200"/>
        <w:rPr>
          <w:rFonts w:asciiTheme="majorHAnsi" w:eastAsiaTheme="majorEastAsia" w:hAnsiTheme="majorHAnsi" w:cstheme="majorBidi"/>
          <w:b/>
          <w:bCs/>
          <w:color w:val="365F91" w:themeColor="accent1" w:themeShade="BF"/>
          <w:sz w:val="28"/>
          <w:szCs w:val="28"/>
        </w:rPr>
      </w:pPr>
      <w:r>
        <w:br w:type="page"/>
      </w:r>
    </w:p>
    <w:p w:rsidR="00096AD9" w:rsidRPr="00E61357" w:rsidRDefault="00E61357" w:rsidP="00E61357">
      <w:pPr>
        <w:pStyle w:val="Heading1"/>
      </w:pPr>
      <w:bookmarkStart w:id="14" w:name="_Toc294165549"/>
      <w:r>
        <w:lastRenderedPageBreak/>
        <w:t>Progress</w:t>
      </w:r>
      <w:bookmarkEnd w:id="14"/>
    </w:p>
    <w:p w:rsidR="00E81E93" w:rsidRPr="00E81E93" w:rsidRDefault="00E81E93" w:rsidP="00E61357">
      <w:pPr>
        <w:rPr>
          <w:b/>
        </w:rPr>
      </w:pPr>
      <w:bookmarkStart w:id="15" w:name="_Toc293559132"/>
      <w:r w:rsidRPr="00E81E93">
        <w:rPr>
          <w:b/>
        </w:rPr>
        <w:t>As of May 2011:</w:t>
      </w:r>
    </w:p>
    <w:p w:rsidR="00012A0C" w:rsidRDefault="00E61357" w:rsidP="00E61357">
      <w:r>
        <w:t>A</w:t>
      </w:r>
      <w:r w:rsidR="00012A0C">
        <w:t xml:space="preserve"> proposal was made to </w:t>
      </w:r>
      <w:r>
        <w:t xml:space="preserve">University </w:t>
      </w:r>
      <w:r w:rsidR="00012A0C">
        <w:t>Learning, Teaching and Assessment Commi</w:t>
      </w:r>
      <w:r>
        <w:t>ttee to broaden educational use of Turnitin:</w:t>
      </w:r>
    </w:p>
    <w:p w:rsidR="00012A0C" w:rsidRDefault="00012A0C" w:rsidP="00E61357">
      <w:pPr>
        <w:pStyle w:val="ListParagraph"/>
        <w:numPr>
          <w:ilvl w:val="0"/>
          <w:numId w:val="18"/>
        </w:numPr>
      </w:pPr>
      <w:r>
        <w:t xml:space="preserve">to be used for </w:t>
      </w:r>
      <w:r w:rsidRPr="000C0837">
        <w:t>all</w:t>
      </w:r>
      <w:r>
        <w:t xml:space="preserve"> ‘submittable’ summative coursework for Levels 4-7</w:t>
      </w:r>
      <w:r w:rsidR="00E81E93">
        <w:t>, unless there is a strong pedagogic or administrative reason not to</w:t>
      </w:r>
    </w:p>
    <w:p w:rsidR="00012A0C" w:rsidRDefault="00012A0C" w:rsidP="00E61357">
      <w:pPr>
        <w:pStyle w:val="ListParagraph"/>
        <w:numPr>
          <w:ilvl w:val="0"/>
          <w:numId w:val="18"/>
        </w:numPr>
      </w:pPr>
      <w:r>
        <w:t xml:space="preserve">students to have an opportunity to self-check their work at least </w:t>
      </w:r>
      <w:r w:rsidR="00E61357">
        <w:t xml:space="preserve">once </w:t>
      </w:r>
      <w:r>
        <w:t xml:space="preserve">for each </w:t>
      </w:r>
      <w:r w:rsidR="00E81E93">
        <w:t xml:space="preserve">summative </w:t>
      </w:r>
      <w:r>
        <w:t>submission</w:t>
      </w:r>
    </w:p>
    <w:p w:rsidR="00012A0C" w:rsidRDefault="00E81E93" w:rsidP="00E61357">
      <w:pPr>
        <w:pStyle w:val="ListParagraph"/>
        <w:numPr>
          <w:ilvl w:val="0"/>
          <w:numId w:val="18"/>
        </w:numPr>
      </w:pPr>
      <w:r>
        <w:t xml:space="preserve">some form of </w:t>
      </w:r>
      <w:r w:rsidR="00012A0C">
        <w:t>feedback to be given by tutors on originality reports in the early stages of students’ studies</w:t>
      </w:r>
    </w:p>
    <w:p w:rsidR="00012A0C" w:rsidRDefault="00E61357" w:rsidP="00E61357">
      <w:r>
        <w:t>This was incorporated into a revised plagiarism policy</w:t>
      </w:r>
      <w:r w:rsidR="00E81E93">
        <w:t xml:space="preserve"> which </w:t>
      </w:r>
      <w:r w:rsidR="00012A0C">
        <w:t>Committee agreed to recommend for Academic Board approval</w:t>
      </w:r>
      <w:r>
        <w:t xml:space="preserve"> by end 2010/11.</w:t>
      </w:r>
    </w:p>
    <w:p w:rsidR="00E81E93" w:rsidRDefault="00E81E93" w:rsidP="00E81E93">
      <w:r>
        <w:t xml:space="preserve">Learning and Teaching Enhancement Unit (LTEU) are working on enhanced guidance for staff and students on interpreting originality reports for students.  This will include ‘bite sized’ videos as suggested by the Student Union.  </w:t>
      </w:r>
    </w:p>
    <w:p w:rsidR="00E81E93" w:rsidRPr="00012A0C" w:rsidRDefault="00E81E93" w:rsidP="00E81E93">
      <w:r>
        <w:t>LTEU are working with the Student Study Support Unit to develop support for programmes in providing feedback to students on their originality reports.</w:t>
      </w:r>
    </w:p>
    <w:p w:rsidR="00E81E93" w:rsidRDefault="00E81E93" w:rsidP="00E61357"/>
    <w:p w:rsidR="005D03BA" w:rsidRDefault="005D03BA">
      <w:pPr>
        <w:spacing w:before="0" w:after="200"/>
        <w:rPr>
          <w:rFonts w:asciiTheme="majorHAnsi" w:eastAsiaTheme="majorEastAsia" w:hAnsiTheme="majorHAnsi" w:cstheme="majorBidi"/>
          <w:b/>
          <w:bCs/>
          <w:color w:val="365F91" w:themeColor="accent1" w:themeShade="BF"/>
          <w:sz w:val="28"/>
          <w:szCs w:val="28"/>
        </w:rPr>
      </w:pPr>
      <w:r>
        <w:br w:type="page"/>
      </w:r>
    </w:p>
    <w:p w:rsidR="004C4411" w:rsidRDefault="004C4411" w:rsidP="004C4411">
      <w:pPr>
        <w:pStyle w:val="Heading1"/>
      </w:pPr>
      <w:bookmarkStart w:id="16" w:name="_Toc294165550"/>
      <w:r>
        <w:lastRenderedPageBreak/>
        <w:t>References</w:t>
      </w:r>
      <w:bookmarkEnd w:id="15"/>
      <w:bookmarkEnd w:id="16"/>
    </w:p>
    <w:p w:rsidR="004C4411" w:rsidRPr="004C4411" w:rsidRDefault="004C4411" w:rsidP="004C4411">
      <w:r w:rsidRPr="004C4411">
        <w:t xml:space="preserve">Badge, J. (2009). ‘Dealing with plagiarism in the digital age’.  Available at </w:t>
      </w:r>
      <w:hyperlink r:id="rId9" w:history="1">
        <w:r w:rsidRPr="004C4411">
          <w:rPr>
            <w:rStyle w:val="Hyperlink"/>
          </w:rPr>
          <w:t>http://evidencenet.pbworks.com/Dealing-with-plagiarism-in-the-digital-age</w:t>
        </w:r>
      </w:hyperlink>
      <w:r w:rsidRPr="004C4411">
        <w:t xml:space="preserve"> [Accessed: 16 May 2011]</w:t>
      </w:r>
    </w:p>
    <w:p w:rsidR="006F6D9B" w:rsidRDefault="00656FA0" w:rsidP="004C4411">
      <w:r w:rsidRPr="006F6D9B">
        <w:t xml:space="preserve">Canterbury Christ Church University (2007).  Plagiarism Policy.  Available at </w:t>
      </w:r>
      <w:hyperlink r:id="rId10" w:history="1">
        <w:r w:rsidRPr="006F6D9B">
          <w:rPr>
            <w:rStyle w:val="Hyperlink"/>
          </w:rPr>
          <w:t>http://www.canterbury.ac.uk/Support/learning-teaching-enhancement-unit/Policy/Plagiarism.aspx</w:t>
        </w:r>
      </w:hyperlink>
      <w:r w:rsidRPr="006F6D9B">
        <w:t xml:space="preserve"> [Accessed: 16 May 2011]</w:t>
      </w:r>
    </w:p>
    <w:p w:rsidR="004C4411" w:rsidRPr="004C4411" w:rsidRDefault="004C4411" w:rsidP="004C4411">
      <w:r w:rsidRPr="004C4411">
        <w:t xml:space="preserve">Davis, M., Carroll, J. (2009) ‘Formative feedback within plagiarism education: Is there a role for text-matching software?’ </w:t>
      </w:r>
      <w:r w:rsidRPr="004C4411">
        <w:rPr>
          <w:i/>
        </w:rPr>
        <w:t>International Journal for Educational Integrity</w:t>
      </w:r>
      <w:r w:rsidRPr="004C4411">
        <w:t xml:space="preserve"> 5(2)  pp 58–70.  Available at </w:t>
      </w:r>
      <w:hyperlink r:id="rId11" w:history="1">
        <w:r w:rsidRPr="004C4411">
          <w:rPr>
            <w:rStyle w:val="Hyperlink"/>
          </w:rPr>
          <w:t>http://www.ojs.unisa.edu.au/index.php/IJEI/article/view/614</w:t>
        </w:r>
      </w:hyperlink>
      <w:r w:rsidRPr="004C4411">
        <w:t xml:space="preserve"> [Accessed: 16 May 2011]</w:t>
      </w:r>
    </w:p>
    <w:p w:rsidR="004C4411" w:rsidRPr="004C4411" w:rsidRDefault="004C4411" w:rsidP="004C4411">
      <w:r w:rsidRPr="004C4411">
        <w:t xml:space="preserve">Flynn, S. (2010) ‘Using Turnitin with large classes to support student writing’ Paper presented to the Fourth International Plagiarism Conference, Northumbria University.  Available at: </w:t>
      </w:r>
      <w:hyperlink r:id="rId12" w:history="1">
        <w:r w:rsidRPr="004C4411">
          <w:rPr>
            <w:rStyle w:val="Hyperlink"/>
          </w:rPr>
          <w:t>http://www.plagiarismadvice.org/conference/previous-plagiarism-conferences/4th-plagiarism-conference-2010</w:t>
        </w:r>
      </w:hyperlink>
      <w:r w:rsidRPr="004C4411">
        <w:t xml:space="preserve"> [Accessed: 16 May 2011]</w:t>
      </w:r>
    </w:p>
    <w:p w:rsidR="004C4411" w:rsidRPr="004C4411" w:rsidRDefault="004C4411" w:rsidP="004C4411">
      <w:r w:rsidRPr="004C4411">
        <w:t xml:space="preserve">McCarthy, G., Rogerson, A. (2009) ‘Links are not enough: Using originality reports to improve academic standards, compliance and learning outcomes among postgraduate students’ </w:t>
      </w:r>
      <w:r w:rsidRPr="004C4411">
        <w:rPr>
          <w:i/>
        </w:rPr>
        <w:t>International Journal for Educational Integrity</w:t>
      </w:r>
      <w:r w:rsidRPr="004C4411">
        <w:t xml:space="preserve"> 5(2)  pp 47–57.  Available at </w:t>
      </w:r>
      <w:hyperlink r:id="rId13" w:history="1">
        <w:r w:rsidRPr="004C4411">
          <w:rPr>
            <w:rStyle w:val="Hyperlink"/>
          </w:rPr>
          <w:t>http://www.ojs.unisa.edu.au/index.php/IJEI/article/view/613</w:t>
        </w:r>
      </w:hyperlink>
      <w:r w:rsidRPr="004C4411">
        <w:t xml:space="preserve"> [Accessed: 16 May 2011]</w:t>
      </w:r>
    </w:p>
    <w:p w:rsidR="007759D8" w:rsidRPr="0065287B" w:rsidRDefault="004C4411" w:rsidP="00C16301">
      <w:r w:rsidRPr="004C4411">
        <w:t>Wiggins, C. (2010) ‘</w:t>
      </w:r>
      <w:r w:rsidRPr="004C4411">
        <w:rPr>
          <w:iCs/>
        </w:rPr>
        <w:t>Turning Points: Building a framework for active student engagement and learning with Turnitin</w:t>
      </w:r>
      <w:r w:rsidRPr="004C4411">
        <w:t xml:space="preserve">’ Paper presented to the Fourth International Plagiarism Conference, Northumbria University.  Available at: </w:t>
      </w:r>
      <w:hyperlink r:id="rId14" w:history="1">
        <w:r w:rsidRPr="004C4411">
          <w:rPr>
            <w:rStyle w:val="Hyperlink"/>
          </w:rPr>
          <w:t>http://www.plagiarismadvice.org/conference/previous-plagiarism-conferences/4th-plagiarism-conference-2010</w:t>
        </w:r>
      </w:hyperlink>
      <w:r w:rsidRPr="004C4411">
        <w:t xml:space="preserve"> [Accessed: 16 May 2011]</w:t>
      </w:r>
    </w:p>
    <w:sectPr w:rsidR="007759D8" w:rsidRPr="0065287B" w:rsidSect="00E87CD8">
      <w:footerReference w:type="default" r:id="rId15"/>
      <w:pgSz w:w="11906" w:h="16838"/>
      <w:pgMar w:top="851"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AEA" w:rsidRDefault="00DA0AEA" w:rsidP="00AC4335">
      <w:pPr>
        <w:spacing w:before="0" w:line="240" w:lineRule="auto"/>
      </w:pPr>
      <w:r>
        <w:separator/>
      </w:r>
    </w:p>
  </w:endnote>
  <w:endnote w:type="continuationSeparator" w:id="0">
    <w:p w:rsidR="00DA0AEA" w:rsidRDefault="00DA0AEA" w:rsidP="00AC433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EA" w:rsidRDefault="00DA0AEA" w:rsidP="00754C77">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0576"/>
      <w:docPartObj>
        <w:docPartGallery w:val="Page Numbers (Bottom of Page)"/>
        <w:docPartUnique/>
      </w:docPartObj>
    </w:sdtPr>
    <w:sdtContent>
      <w:p w:rsidR="00DA0AEA" w:rsidRDefault="00626114">
        <w:pPr>
          <w:pStyle w:val="Footer"/>
          <w:jc w:val="right"/>
        </w:pPr>
        <w:fldSimple w:instr=" PAGE   \* MERGEFORMAT ">
          <w:r w:rsidR="00115B8D">
            <w:rPr>
              <w:noProof/>
            </w:rPr>
            <w:t>13</w:t>
          </w:r>
        </w:fldSimple>
      </w:p>
    </w:sdtContent>
  </w:sdt>
  <w:p w:rsidR="00DA0AEA" w:rsidRDefault="00DA0AEA" w:rsidP="00754C7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AEA" w:rsidRDefault="00DA0AEA" w:rsidP="00AC4335">
      <w:pPr>
        <w:spacing w:before="0" w:line="240" w:lineRule="auto"/>
      </w:pPr>
      <w:r>
        <w:separator/>
      </w:r>
    </w:p>
  </w:footnote>
  <w:footnote w:type="continuationSeparator" w:id="0">
    <w:p w:rsidR="00DA0AEA" w:rsidRDefault="00DA0AEA" w:rsidP="00AC4335">
      <w:pPr>
        <w:spacing w:before="0" w:line="240" w:lineRule="auto"/>
      </w:pPr>
      <w:r>
        <w:continuationSeparator/>
      </w:r>
    </w:p>
  </w:footnote>
  <w:footnote w:id="1">
    <w:p w:rsidR="00DA0AEA" w:rsidRPr="00ED0776" w:rsidRDefault="00DA0AEA" w:rsidP="000D410C">
      <w:pPr>
        <w:pStyle w:val="FootnoteText"/>
        <w:rPr>
          <w:szCs w:val="22"/>
        </w:rPr>
      </w:pPr>
      <w:r>
        <w:rPr>
          <w:rStyle w:val="FootnoteReference"/>
        </w:rPr>
        <w:footnoteRef/>
      </w:r>
      <w:r>
        <w:t xml:space="preserve"> </w:t>
      </w:r>
      <w:r w:rsidRPr="00ED0776">
        <w:rPr>
          <w:szCs w:val="22"/>
        </w:rPr>
        <w:t xml:space="preserve">Note small </w:t>
      </w:r>
      <w:r>
        <w:rPr>
          <w:szCs w:val="22"/>
        </w:rPr>
        <w:t>student interview sample size, although larger survey response supports this finding.</w:t>
      </w:r>
      <w:r w:rsidRPr="00ED0776">
        <w:rPr>
          <w:szCs w:val="22"/>
        </w:rPr>
        <w:t xml:space="preserve">  </w:t>
      </w:r>
    </w:p>
  </w:footnote>
  <w:footnote w:id="2">
    <w:p w:rsidR="00DA0AEA" w:rsidRPr="00ED0776" w:rsidRDefault="00DA0AEA" w:rsidP="00A36575">
      <w:pPr>
        <w:pStyle w:val="FootnoteText"/>
        <w:rPr>
          <w:szCs w:val="22"/>
        </w:rPr>
      </w:pPr>
      <w:r w:rsidRPr="00ED0776">
        <w:rPr>
          <w:rStyle w:val="FootnoteReference"/>
          <w:szCs w:val="22"/>
        </w:rPr>
        <w:footnoteRef/>
      </w:r>
      <w:r w:rsidRPr="00ED0776">
        <w:rPr>
          <w:szCs w:val="22"/>
        </w:rPr>
        <w:t xml:space="preserve"> Research not designed to evaluate impact of </w:t>
      </w:r>
      <w:r w:rsidRPr="00A36575">
        <w:rPr>
          <w:i/>
          <w:szCs w:val="22"/>
        </w:rPr>
        <w:t>ongoing</w:t>
      </w:r>
      <w:r w:rsidRPr="00ED0776">
        <w:rPr>
          <w:szCs w:val="22"/>
        </w:rPr>
        <w:t xml:space="preserve"> educational use of Turnitin specifically.  </w:t>
      </w:r>
    </w:p>
  </w:footnote>
  <w:footnote w:id="3">
    <w:p w:rsidR="00DA0AEA" w:rsidRDefault="00DA0AEA">
      <w:pPr>
        <w:pStyle w:val="FootnoteText"/>
      </w:pPr>
      <w:r>
        <w:rPr>
          <w:rStyle w:val="FootnoteReference"/>
        </w:rPr>
        <w:footnoteRef/>
      </w:r>
      <w:r>
        <w:t xml:space="preserve"> Canterbury Christ Church University web site: </w:t>
      </w:r>
      <w:hyperlink r:id="rId1" w:history="1">
        <w:r w:rsidRPr="000D2D30">
          <w:rPr>
            <w:rStyle w:val="Hyperlink"/>
          </w:rPr>
          <w:t>http://www.canterbury.ac.uk/About/</w:t>
        </w:r>
      </w:hyperlink>
      <w:r>
        <w:t xml:space="preserve"> [Accessed: 16 May 2011]</w:t>
      </w:r>
    </w:p>
  </w:footnote>
  <w:footnote w:id="4">
    <w:p w:rsidR="00DA0AEA" w:rsidRDefault="00DA0AEA">
      <w:pPr>
        <w:pStyle w:val="FootnoteText"/>
      </w:pPr>
      <w:r>
        <w:rPr>
          <w:rStyle w:val="FootnoteReference"/>
        </w:rPr>
        <w:footnoteRef/>
      </w:r>
      <w:r>
        <w:t xml:space="preserve"> Bristol Online Surveys: </w:t>
      </w:r>
      <w:hyperlink r:id="rId2" w:history="1">
        <w:r w:rsidRPr="00672619">
          <w:rPr>
            <w:rStyle w:val="Hyperlink"/>
          </w:rPr>
          <w:t>www.survey.bris.ac.uk</w:t>
        </w:r>
      </w:hyperlink>
      <w:r>
        <w:t xml:space="preserve"> </w:t>
      </w:r>
    </w:p>
  </w:footnote>
  <w:footnote w:id="5">
    <w:p w:rsidR="00DA0AEA" w:rsidRDefault="00DA0AEA" w:rsidP="006A2B37">
      <w:pPr>
        <w:pStyle w:val="FootnoteText"/>
      </w:pPr>
      <w:r>
        <w:rPr>
          <w:rStyle w:val="FootnoteReference"/>
        </w:rPr>
        <w:footnoteRef/>
      </w:r>
      <w:r>
        <w:t xml:space="preserve"> Estimate based on proportion of 525 FTE academic department staff reported in University Annual Review 2009</w:t>
      </w:r>
    </w:p>
  </w:footnote>
  <w:footnote w:id="6">
    <w:p w:rsidR="00DA0AEA" w:rsidRDefault="00DA0AEA" w:rsidP="006A2B37">
      <w:pPr>
        <w:pStyle w:val="FootnoteText"/>
      </w:pPr>
      <w:r>
        <w:rPr>
          <w:rStyle w:val="FootnoteReference"/>
        </w:rPr>
        <w:footnoteRef/>
      </w:r>
      <w:r>
        <w:t xml:space="preserve"> Estimate based on proportion of 16755 students reported in University Annual Review 2009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1E9"/>
    <w:multiLevelType w:val="hybridMultilevel"/>
    <w:tmpl w:val="75D4DDF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315F05"/>
    <w:multiLevelType w:val="hybridMultilevel"/>
    <w:tmpl w:val="31C26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3601C6"/>
    <w:multiLevelType w:val="hybridMultilevel"/>
    <w:tmpl w:val="5A140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27D7A"/>
    <w:multiLevelType w:val="hybridMultilevel"/>
    <w:tmpl w:val="D69A6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55108E"/>
    <w:multiLevelType w:val="hybridMultilevel"/>
    <w:tmpl w:val="90544CC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B901E4"/>
    <w:multiLevelType w:val="hybridMultilevel"/>
    <w:tmpl w:val="5A1C5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D70CE8"/>
    <w:multiLevelType w:val="hybridMultilevel"/>
    <w:tmpl w:val="7458B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9200D6"/>
    <w:multiLevelType w:val="hybridMultilevel"/>
    <w:tmpl w:val="D69A6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4F7540"/>
    <w:multiLevelType w:val="hybridMultilevel"/>
    <w:tmpl w:val="E6502A9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562F1627"/>
    <w:multiLevelType w:val="hybridMultilevel"/>
    <w:tmpl w:val="0D6A1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C62B8C"/>
    <w:multiLevelType w:val="hybridMultilevel"/>
    <w:tmpl w:val="A3AC7B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83C2DFC"/>
    <w:multiLevelType w:val="hybridMultilevel"/>
    <w:tmpl w:val="D61A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767919"/>
    <w:multiLevelType w:val="hybridMultilevel"/>
    <w:tmpl w:val="31C26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AB10ED"/>
    <w:multiLevelType w:val="hybridMultilevel"/>
    <w:tmpl w:val="26DC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300D95"/>
    <w:multiLevelType w:val="hybridMultilevel"/>
    <w:tmpl w:val="67860C7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14705B"/>
    <w:multiLevelType w:val="hybridMultilevel"/>
    <w:tmpl w:val="39864C98"/>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9601AF"/>
    <w:multiLevelType w:val="hybridMultilevel"/>
    <w:tmpl w:val="D69A6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E120F2"/>
    <w:multiLevelType w:val="hybridMultilevel"/>
    <w:tmpl w:val="483475C4"/>
    <w:lvl w:ilvl="0" w:tplc="FE4A0966">
      <w:start w:val="5"/>
      <w:numFmt w:val="bullet"/>
      <w:lvlText w:val="-"/>
      <w:lvlJc w:val="left"/>
      <w:pPr>
        <w:ind w:left="405"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783154"/>
    <w:multiLevelType w:val="hybridMultilevel"/>
    <w:tmpl w:val="57FCF2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7100C3"/>
    <w:multiLevelType w:val="hybridMultilevel"/>
    <w:tmpl w:val="AF7A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2"/>
  </w:num>
  <w:num w:numId="4">
    <w:abstractNumId w:val="17"/>
  </w:num>
  <w:num w:numId="5">
    <w:abstractNumId w:val="14"/>
  </w:num>
  <w:num w:numId="6">
    <w:abstractNumId w:val="2"/>
  </w:num>
  <w:num w:numId="7">
    <w:abstractNumId w:val="13"/>
  </w:num>
  <w:num w:numId="8">
    <w:abstractNumId w:val="5"/>
  </w:num>
  <w:num w:numId="9">
    <w:abstractNumId w:val="8"/>
  </w:num>
  <w:num w:numId="10">
    <w:abstractNumId w:val="19"/>
  </w:num>
  <w:num w:numId="11">
    <w:abstractNumId w:val="10"/>
  </w:num>
  <w:num w:numId="12">
    <w:abstractNumId w:val="1"/>
  </w:num>
  <w:num w:numId="13">
    <w:abstractNumId w:val="9"/>
  </w:num>
  <w:num w:numId="14">
    <w:abstractNumId w:val="7"/>
  </w:num>
  <w:num w:numId="15">
    <w:abstractNumId w:val="11"/>
  </w:num>
  <w:num w:numId="16">
    <w:abstractNumId w:val="6"/>
  </w:num>
  <w:num w:numId="17">
    <w:abstractNumId w:val="16"/>
  </w:num>
  <w:num w:numId="18">
    <w:abstractNumId w:val="4"/>
  </w:num>
  <w:num w:numId="19">
    <w:abstractNumId w:val="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6D02AC"/>
    <w:rsid w:val="00012524"/>
    <w:rsid w:val="00012A0C"/>
    <w:rsid w:val="00022CDF"/>
    <w:rsid w:val="000336AC"/>
    <w:rsid w:val="00040FF6"/>
    <w:rsid w:val="00062D3E"/>
    <w:rsid w:val="00066C42"/>
    <w:rsid w:val="00072FF1"/>
    <w:rsid w:val="00073AB7"/>
    <w:rsid w:val="00085003"/>
    <w:rsid w:val="00096AD9"/>
    <w:rsid w:val="000B2CE7"/>
    <w:rsid w:val="000C0837"/>
    <w:rsid w:val="000D410C"/>
    <w:rsid w:val="000E267E"/>
    <w:rsid w:val="00103EAC"/>
    <w:rsid w:val="00111247"/>
    <w:rsid w:val="00115B8D"/>
    <w:rsid w:val="00117DA9"/>
    <w:rsid w:val="001321E9"/>
    <w:rsid w:val="00136DB8"/>
    <w:rsid w:val="001404F9"/>
    <w:rsid w:val="00140E82"/>
    <w:rsid w:val="0014155A"/>
    <w:rsid w:val="001419A7"/>
    <w:rsid w:val="00143529"/>
    <w:rsid w:val="00152E4A"/>
    <w:rsid w:val="00157511"/>
    <w:rsid w:val="00170910"/>
    <w:rsid w:val="001809B6"/>
    <w:rsid w:val="00186904"/>
    <w:rsid w:val="00196FDF"/>
    <w:rsid w:val="001A15C9"/>
    <w:rsid w:val="001A3194"/>
    <w:rsid w:val="001A5B6A"/>
    <w:rsid w:val="001A74EA"/>
    <w:rsid w:val="001B7E88"/>
    <w:rsid w:val="001D3363"/>
    <w:rsid w:val="001D34BB"/>
    <w:rsid w:val="001F1BAA"/>
    <w:rsid w:val="001F6EBB"/>
    <w:rsid w:val="00200409"/>
    <w:rsid w:val="00203AC7"/>
    <w:rsid w:val="00204D21"/>
    <w:rsid w:val="00214A80"/>
    <w:rsid w:val="002350C4"/>
    <w:rsid w:val="00237C32"/>
    <w:rsid w:val="00240B38"/>
    <w:rsid w:val="002578E8"/>
    <w:rsid w:val="00261014"/>
    <w:rsid w:val="0028492B"/>
    <w:rsid w:val="00287CDF"/>
    <w:rsid w:val="00297BC3"/>
    <w:rsid w:val="002A3C11"/>
    <w:rsid w:val="002A3F39"/>
    <w:rsid w:val="002B256F"/>
    <w:rsid w:val="002B2F40"/>
    <w:rsid w:val="002C2FDE"/>
    <w:rsid w:val="002E407D"/>
    <w:rsid w:val="002E4B6B"/>
    <w:rsid w:val="003066DC"/>
    <w:rsid w:val="0031306D"/>
    <w:rsid w:val="00316D49"/>
    <w:rsid w:val="003239A8"/>
    <w:rsid w:val="00327B4C"/>
    <w:rsid w:val="0033440D"/>
    <w:rsid w:val="003524FE"/>
    <w:rsid w:val="003545BA"/>
    <w:rsid w:val="0036290C"/>
    <w:rsid w:val="00381941"/>
    <w:rsid w:val="00381F83"/>
    <w:rsid w:val="00384388"/>
    <w:rsid w:val="00395556"/>
    <w:rsid w:val="003B14DA"/>
    <w:rsid w:val="003B247A"/>
    <w:rsid w:val="003E2EFA"/>
    <w:rsid w:val="003E5A5C"/>
    <w:rsid w:val="004002DB"/>
    <w:rsid w:val="004237AD"/>
    <w:rsid w:val="004431F2"/>
    <w:rsid w:val="00452AE6"/>
    <w:rsid w:val="00455B2A"/>
    <w:rsid w:val="00462C7E"/>
    <w:rsid w:val="004631F1"/>
    <w:rsid w:val="00464F65"/>
    <w:rsid w:val="00474A0E"/>
    <w:rsid w:val="004802CF"/>
    <w:rsid w:val="00490B33"/>
    <w:rsid w:val="004A0FB9"/>
    <w:rsid w:val="004B18B0"/>
    <w:rsid w:val="004B31E9"/>
    <w:rsid w:val="004B6271"/>
    <w:rsid w:val="004B7F83"/>
    <w:rsid w:val="004C20A7"/>
    <w:rsid w:val="004C4411"/>
    <w:rsid w:val="004D207E"/>
    <w:rsid w:val="004D726A"/>
    <w:rsid w:val="00536588"/>
    <w:rsid w:val="00536774"/>
    <w:rsid w:val="00543636"/>
    <w:rsid w:val="00563996"/>
    <w:rsid w:val="00574C8A"/>
    <w:rsid w:val="00581725"/>
    <w:rsid w:val="005876F9"/>
    <w:rsid w:val="00591493"/>
    <w:rsid w:val="00597FBE"/>
    <w:rsid w:val="005B1512"/>
    <w:rsid w:val="005C22DA"/>
    <w:rsid w:val="005C7F2F"/>
    <w:rsid w:val="005D03BA"/>
    <w:rsid w:val="005D6693"/>
    <w:rsid w:val="005F1253"/>
    <w:rsid w:val="006138AD"/>
    <w:rsid w:val="006240AD"/>
    <w:rsid w:val="006241E4"/>
    <w:rsid w:val="00626114"/>
    <w:rsid w:val="00633DFE"/>
    <w:rsid w:val="006523AF"/>
    <w:rsid w:val="0065287B"/>
    <w:rsid w:val="0065461F"/>
    <w:rsid w:val="00656FA0"/>
    <w:rsid w:val="006657E1"/>
    <w:rsid w:val="006708E2"/>
    <w:rsid w:val="006933A7"/>
    <w:rsid w:val="006946B0"/>
    <w:rsid w:val="006A2B37"/>
    <w:rsid w:val="006C30CF"/>
    <w:rsid w:val="006C4034"/>
    <w:rsid w:val="006D0188"/>
    <w:rsid w:val="006D02AC"/>
    <w:rsid w:val="006D6886"/>
    <w:rsid w:val="006E37B0"/>
    <w:rsid w:val="006F6D9B"/>
    <w:rsid w:val="0070773C"/>
    <w:rsid w:val="00720038"/>
    <w:rsid w:val="0072740F"/>
    <w:rsid w:val="00732603"/>
    <w:rsid w:val="0073655D"/>
    <w:rsid w:val="0074144C"/>
    <w:rsid w:val="0074798F"/>
    <w:rsid w:val="00753338"/>
    <w:rsid w:val="00754C77"/>
    <w:rsid w:val="00770A02"/>
    <w:rsid w:val="00771724"/>
    <w:rsid w:val="007759D8"/>
    <w:rsid w:val="00796672"/>
    <w:rsid w:val="007A53B6"/>
    <w:rsid w:val="007A636C"/>
    <w:rsid w:val="007B3EFB"/>
    <w:rsid w:val="007B3F85"/>
    <w:rsid w:val="007C2D97"/>
    <w:rsid w:val="007C7B39"/>
    <w:rsid w:val="007C7D99"/>
    <w:rsid w:val="007D2A18"/>
    <w:rsid w:val="007D2BAC"/>
    <w:rsid w:val="007E3129"/>
    <w:rsid w:val="007F3003"/>
    <w:rsid w:val="007F3B66"/>
    <w:rsid w:val="008025D0"/>
    <w:rsid w:val="00802903"/>
    <w:rsid w:val="008034A9"/>
    <w:rsid w:val="00837BB6"/>
    <w:rsid w:val="00852535"/>
    <w:rsid w:val="00853B43"/>
    <w:rsid w:val="0086567F"/>
    <w:rsid w:val="00866C7A"/>
    <w:rsid w:val="00870D27"/>
    <w:rsid w:val="00871175"/>
    <w:rsid w:val="008713D4"/>
    <w:rsid w:val="0088118F"/>
    <w:rsid w:val="00882639"/>
    <w:rsid w:val="008946A3"/>
    <w:rsid w:val="008A0D1D"/>
    <w:rsid w:val="008D3098"/>
    <w:rsid w:val="008E4D4D"/>
    <w:rsid w:val="008F5CD1"/>
    <w:rsid w:val="00903B6D"/>
    <w:rsid w:val="00913591"/>
    <w:rsid w:val="00921D8A"/>
    <w:rsid w:val="00923754"/>
    <w:rsid w:val="00943705"/>
    <w:rsid w:val="00945D4C"/>
    <w:rsid w:val="00947DFF"/>
    <w:rsid w:val="00962071"/>
    <w:rsid w:val="00967768"/>
    <w:rsid w:val="0098179A"/>
    <w:rsid w:val="009A4CE1"/>
    <w:rsid w:val="009B3F67"/>
    <w:rsid w:val="009B7F65"/>
    <w:rsid w:val="009C0134"/>
    <w:rsid w:val="009C6FEB"/>
    <w:rsid w:val="009D0FC1"/>
    <w:rsid w:val="009D2316"/>
    <w:rsid w:val="009F1700"/>
    <w:rsid w:val="00A021B4"/>
    <w:rsid w:val="00A12B3E"/>
    <w:rsid w:val="00A33DB5"/>
    <w:rsid w:val="00A36575"/>
    <w:rsid w:val="00A3761E"/>
    <w:rsid w:val="00A412E2"/>
    <w:rsid w:val="00A53294"/>
    <w:rsid w:val="00A538C4"/>
    <w:rsid w:val="00A54492"/>
    <w:rsid w:val="00A67BB6"/>
    <w:rsid w:val="00A835C7"/>
    <w:rsid w:val="00A96648"/>
    <w:rsid w:val="00AA04E4"/>
    <w:rsid w:val="00AA6542"/>
    <w:rsid w:val="00AB6F2B"/>
    <w:rsid w:val="00AC4335"/>
    <w:rsid w:val="00AD4C47"/>
    <w:rsid w:val="00B16F0D"/>
    <w:rsid w:val="00B41E66"/>
    <w:rsid w:val="00B45565"/>
    <w:rsid w:val="00B45E47"/>
    <w:rsid w:val="00B46E12"/>
    <w:rsid w:val="00B5520F"/>
    <w:rsid w:val="00B6042B"/>
    <w:rsid w:val="00B64BC4"/>
    <w:rsid w:val="00B724A7"/>
    <w:rsid w:val="00B9325B"/>
    <w:rsid w:val="00BA1CCB"/>
    <w:rsid w:val="00BB583E"/>
    <w:rsid w:val="00BC0F5B"/>
    <w:rsid w:val="00C003FB"/>
    <w:rsid w:val="00C030C9"/>
    <w:rsid w:val="00C16301"/>
    <w:rsid w:val="00C17736"/>
    <w:rsid w:val="00C200D0"/>
    <w:rsid w:val="00C32283"/>
    <w:rsid w:val="00C3624F"/>
    <w:rsid w:val="00C376F4"/>
    <w:rsid w:val="00C47307"/>
    <w:rsid w:val="00C56D93"/>
    <w:rsid w:val="00C65695"/>
    <w:rsid w:val="00C73452"/>
    <w:rsid w:val="00CB6A20"/>
    <w:rsid w:val="00CD3A92"/>
    <w:rsid w:val="00CE00B0"/>
    <w:rsid w:val="00CE2ED2"/>
    <w:rsid w:val="00CE5435"/>
    <w:rsid w:val="00CF3F7A"/>
    <w:rsid w:val="00D446A2"/>
    <w:rsid w:val="00D47E94"/>
    <w:rsid w:val="00D734FC"/>
    <w:rsid w:val="00D94C07"/>
    <w:rsid w:val="00DA0AEA"/>
    <w:rsid w:val="00DA7EC9"/>
    <w:rsid w:val="00DC1014"/>
    <w:rsid w:val="00DC230A"/>
    <w:rsid w:val="00DE16F1"/>
    <w:rsid w:val="00E15D65"/>
    <w:rsid w:val="00E2245A"/>
    <w:rsid w:val="00E61357"/>
    <w:rsid w:val="00E61380"/>
    <w:rsid w:val="00E6594F"/>
    <w:rsid w:val="00E71075"/>
    <w:rsid w:val="00E775C2"/>
    <w:rsid w:val="00E81E93"/>
    <w:rsid w:val="00E82B0C"/>
    <w:rsid w:val="00E87A58"/>
    <w:rsid w:val="00E87CD8"/>
    <w:rsid w:val="00E91294"/>
    <w:rsid w:val="00E9679D"/>
    <w:rsid w:val="00EB4CD0"/>
    <w:rsid w:val="00EC0208"/>
    <w:rsid w:val="00EE7191"/>
    <w:rsid w:val="00EF5B4F"/>
    <w:rsid w:val="00F024D9"/>
    <w:rsid w:val="00F07FA1"/>
    <w:rsid w:val="00F1688A"/>
    <w:rsid w:val="00F419FE"/>
    <w:rsid w:val="00F61F07"/>
    <w:rsid w:val="00F7776C"/>
    <w:rsid w:val="00FA0134"/>
    <w:rsid w:val="00FA0529"/>
    <w:rsid w:val="00FA3732"/>
    <w:rsid w:val="00FA500D"/>
    <w:rsid w:val="00FA5A7F"/>
    <w:rsid w:val="00FA648B"/>
    <w:rsid w:val="00FA65F1"/>
    <w:rsid w:val="00FB205A"/>
    <w:rsid w:val="00FB6BDF"/>
    <w:rsid w:val="00FC3245"/>
    <w:rsid w:val="00FD0012"/>
    <w:rsid w:val="00FD19B2"/>
    <w:rsid w:val="00FD499A"/>
    <w:rsid w:val="00FD65F6"/>
    <w:rsid w:val="00FE5176"/>
    <w:rsid w:val="00FE62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12"/>
    <w:pPr>
      <w:spacing w:before="120" w:after="0"/>
    </w:pPr>
  </w:style>
  <w:style w:type="paragraph" w:styleId="Heading1">
    <w:name w:val="heading 1"/>
    <w:basedOn w:val="Normal"/>
    <w:next w:val="Normal"/>
    <w:link w:val="Heading1Char"/>
    <w:uiPriority w:val="9"/>
    <w:qFormat/>
    <w:rsid w:val="001404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0D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0D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4F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6F6D9B"/>
    <w:pPr>
      <w:spacing w:before="0" w:line="240" w:lineRule="auto"/>
    </w:pPr>
    <w:rPr>
      <w:szCs w:val="20"/>
    </w:rPr>
  </w:style>
  <w:style w:type="character" w:customStyle="1" w:styleId="FootnoteTextChar">
    <w:name w:val="Footnote Text Char"/>
    <w:basedOn w:val="DefaultParagraphFont"/>
    <w:link w:val="FootnoteText"/>
    <w:uiPriority w:val="99"/>
    <w:rsid w:val="006F6D9B"/>
    <w:rPr>
      <w:szCs w:val="20"/>
    </w:rPr>
  </w:style>
  <w:style w:type="character" w:styleId="Hyperlink">
    <w:name w:val="Hyperlink"/>
    <w:basedOn w:val="DefaultParagraphFont"/>
    <w:uiPriority w:val="99"/>
    <w:rsid w:val="00AC4335"/>
    <w:rPr>
      <w:color w:val="0000FF"/>
      <w:u w:val="single"/>
    </w:rPr>
  </w:style>
  <w:style w:type="character" w:styleId="FootnoteReference">
    <w:name w:val="footnote reference"/>
    <w:basedOn w:val="DefaultParagraphFont"/>
    <w:uiPriority w:val="99"/>
    <w:semiHidden/>
    <w:rsid w:val="00AC4335"/>
    <w:rPr>
      <w:vertAlign w:val="superscript"/>
    </w:rPr>
  </w:style>
  <w:style w:type="character" w:customStyle="1" w:styleId="Heading2Char">
    <w:name w:val="Heading 2 Char"/>
    <w:basedOn w:val="DefaultParagraphFont"/>
    <w:link w:val="Heading2"/>
    <w:uiPriority w:val="9"/>
    <w:rsid w:val="008A0D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0D1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B3F85"/>
    <w:rPr>
      <w:color w:val="800080" w:themeColor="followedHyperlink"/>
      <w:u w:val="single"/>
    </w:rPr>
  </w:style>
  <w:style w:type="paragraph" w:styleId="ListParagraph">
    <w:name w:val="List Paragraph"/>
    <w:basedOn w:val="Normal"/>
    <w:uiPriority w:val="34"/>
    <w:qFormat/>
    <w:rsid w:val="007B3EFB"/>
    <w:pPr>
      <w:ind w:left="720"/>
      <w:contextualSpacing/>
    </w:pPr>
  </w:style>
  <w:style w:type="character" w:styleId="Emphasis">
    <w:name w:val="Emphasis"/>
    <w:basedOn w:val="DefaultParagraphFont"/>
    <w:uiPriority w:val="20"/>
    <w:qFormat/>
    <w:rsid w:val="006708E2"/>
    <w:rPr>
      <w:i/>
      <w:iCs/>
    </w:rPr>
  </w:style>
  <w:style w:type="paragraph" w:customStyle="1" w:styleId="SurveyAnswer">
    <w:name w:val="SurveyAnswer"/>
    <w:basedOn w:val="Normal"/>
    <w:link w:val="SurveyAnswerChar"/>
    <w:qFormat/>
    <w:rsid w:val="00BC0F5B"/>
    <w:pPr>
      <w:spacing w:before="0"/>
      <w:ind w:left="720"/>
    </w:pPr>
    <w:rPr>
      <w:sz w:val="18"/>
      <w:szCs w:val="18"/>
    </w:rPr>
  </w:style>
  <w:style w:type="character" w:customStyle="1" w:styleId="SurveyAnswerChar">
    <w:name w:val="SurveyAnswer Char"/>
    <w:basedOn w:val="DefaultParagraphFont"/>
    <w:link w:val="SurveyAnswer"/>
    <w:rsid w:val="00BC0F5B"/>
    <w:rPr>
      <w:sz w:val="18"/>
      <w:szCs w:val="18"/>
    </w:rPr>
  </w:style>
  <w:style w:type="character" w:styleId="CommentReference">
    <w:name w:val="annotation reference"/>
    <w:basedOn w:val="DefaultParagraphFont"/>
    <w:uiPriority w:val="99"/>
    <w:semiHidden/>
    <w:unhideWhenUsed/>
    <w:rsid w:val="004431F2"/>
    <w:rPr>
      <w:sz w:val="16"/>
      <w:szCs w:val="16"/>
    </w:rPr>
  </w:style>
  <w:style w:type="paragraph" w:styleId="CommentText">
    <w:name w:val="annotation text"/>
    <w:basedOn w:val="Normal"/>
    <w:link w:val="CommentTextChar"/>
    <w:uiPriority w:val="99"/>
    <w:semiHidden/>
    <w:unhideWhenUsed/>
    <w:rsid w:val="004431F2"/>
    <w:pPr>
      <w:spacing w:before="0" w:after="200" w:line="240" w:lineRule="auto"/>
    </w:pPr>
    <w:rPr>
      <w:sz w:val="20"/>
      <w:szCs w:val="20"/>
    </w:rPr>
  </w:style>
  <w:style w:type="character" w:customStyle="1" w:styleId="CommentTextChar">
    <w:name w:val="Comment Text Char"/>
    <w:basedOn w:val="DefaultParagraphFont"/>
    <w:link w:val="CommentText"/>
    <w:uiPriority w:val="99"/>
    <w:semiHidden/>
    <w:rsid w:val="004431F2"/>
    <w:rPr>
      <w:sz w:val="20"/>
      <w:szCs w:val="20"/>
    </w:rPr>
  </w:style>
  <w:style w:type="paragraph" w:styleId="BalloonText">
    <w:name w:val="Balloon Text"/>
    <w:basedOn w:val="Normal"/>
    <w:link w:val="BalloonTextChar"/>
    <w:uiPriority w:val="99"/>
    <w:semiHidden/>
    <w:unhideWhenUsed/>
    <w:rsid w:val="004431F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1F2"/>
    <w:rPr>
      <w:rFonts w:ascii="Tahoma" w:hAnsi="Tahoma" w:cs="Tahoma"/>
      <w:sz w:val="16"/>
      <w:szCs w:val="16"/>
    </w:rPr>
  </w:style>
  <w:style w:type="paragraph" w:styleId="TOC1">
    <w:name w:val="toc 1"/>
    <w:basedOn w:val="Normal"/>
    <w:next w:val="Normal"/>
    <w:autoRedefine/>
    <w:uiPriority w:val="39"/>
    <w:unhideWhenUsed/>
    <w:rsid w:val="00096AD9"/>
    <w:pPr>
      <w:spacing w:after="100"/>
    </w:pPr>
  </w:style>
  <w:style w:type="paragraph" w:styleId="TOC2">
    <w:name w:val="toc 2"/>
    <w:basedOn w:val="Normal"/>
    <w:next w:val="Normal"/>
    <w:autoRedefine/>
    <w:uiPriority w:val="39"/>
    <w:unhideWhenUsed/>
    <w:rsid w:val="00096AD9"/>
    <w:pPr>
      <w:spacing w:after="100"/>
      <w:ind w:left="220"/>
    </w:pPr>
  </w:style>
  <w:style w:type="paragraph" w:customStyle="1" w:styleId="Head1NoContents">
    <w:name w:val="Head1NoContents"/>
    <w:next w:val="Normal"/>
    <w:link w:val="Head1NoContentsChar"/>
    <w:qFormat/>
    <w:rsid w:val="00096AD9"/>
    <w:rPr>
      <w:rFonts w:asciiTheme="majorHAnsi" w:eastAsiaTheme="majorEastAsia" w:hAnsiTheme="majorHAnsi" w:cstheme="majorBidi"/>
      <w:b/>
      <w:bCs/>
      <w:color w:val="365F91" w:themeColor="accent1" w:themeShade="BF"/>
      <w:sz w:val="40"/>
      <w:szCs w:val="28"/>
    </w:rPr>
  </w:style>
  <w:style w:type="paragraph" w:styleId="Header">
    <w:name w:val="header"/>
    <w:basedOn w:val="Normal"/>
    <w:link w:val="HeaderChar"/>
    <w:uiPriority w:val="99"/>
    <w:semiHidden/>
    <w:unhideWhenUsed/>
    <w:rsid w:val="00754C77"/>
    <w:pPr>
      <w:tabs>
        <w:tab w:val="center" w:pos="4513"/>
        <w:tab w:val="right" w:pos="9026"/>
      </w:tabs>
      <w:spacing w:before="0" w:line="240" w:lineRule="auto"/>
    </w:pPr>
  </w:style>
  <w:style w:type="character" w:customStyle="1" w:styleId="Head1NoContentsChar">
    <w:name w:val="Head1NoContents Char"/>
    <w:basedOn w:val="DefaultParagraphFont"/>
    <w:link w:val="Head1NoContents"/>
    <w:rsid w:val="00096AD9"/>
    <w:rPr>
      <w:rFonts w:asciiTheme="majorHAnsi" w:eastAsiaTheme="majorEastAsia" w:hAnsiTheme="majorHAnsi" w:cstheme="majorBidi"/>
      <w:b/>
      <w:bCs/>
      <w:color w:val="365F91" w:themeColor="accent1" w:themeShade="BF"/>
      <w:sz w:val="40"/>
      <w:szCs w:val="28"/>
    </w:rPr>
  </w:style>
  <w:style w:type="character" w:customStyle="1" w:styleId="HeaderChar">
    <w:name w:val="Header Char"/>
    <w:basedOn w:val="DefaultParagraphFont"/>
    <w:link w:val="Header"/>
    <w:uiPriority w:val="99"/>
    <w:semiHidden/>
    <w:rsid w:val="00754C77"/>
  </w:style>
  <w:style w:type="paragraph" w:styleId="Footer">
    <w:name w:val="footer"/>
    <w:basedOn w:val="Normal"/>
    <w:link w:val="FooterChar"/>
    <w:uiPriority w:val="99"/>
    <w:unhideWhenUsed/>
    <w:rsid w:val="00754C7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54C77"/>
  </w:style>
</w:styles>
</file>

<file path=word/webSettings.xml><?xml version="1.0" encoding="utf-8"?>
<w:webSettings xmlns:r="http://schemas.openxmlformats.org/officeDocument/2006/relationships" xmlns:w="http://schemas.openxmlformats.org/wordprocessingml/2006/main">
  <w:divs>
    <w:div w:id="371805894">
      <w:bodyDiv w:val="1"/>
      <w:marLeft w:val="0"/>
      <w:marRight w:val="0"/>
      <w:marTop w:val="0"/>
      <w:marBottom w:val="0"/>
      <w:divBdr>
        <w:top w:val="none" w:sz="0" w:space="0" w:color="auto"/>
        <w:left w:val="none" w:sz="0" w:space="0" w:color="auto"/>
        <w:bottom w:val="none" w:sz="0" w:space="0" w:color="auto"/>
        <w:right w:val="none" w:sz="0" w:space="0" w:color="auto"/>
      </w:divBdr>
      <w:divsChild>
        <w:div w:id="282659948">
          <w:marLeft w:val="0"/>
          <w:marRight w:val="0"/>
          <w:marTop w:val="0"/>
          <w:marBottom w:val="0"/>
          <w:divBdr>
            <w:top w:val="none" w:sz="0" w:space="0" w:color="auto"/>
            <w:left w:val="none" w:sz="0" w:space="0" w:color="auto"/>
            <w:bottom w:val="none" w:sz="0" w:space="0" w:color="auto"/>
            <w:right w:val="none" w:sz="0" w:space="0" w:color="auto"/>
          </w:divBdr>
        </w:div>
        <w:div w:id="603534031">
          <w:marLeft w:val="0"/>
          <w:marRight w:val="0"/>
          <w:marTop w:val="0"/>
          <w:marBottom w:val="0"/>
          <w:divBdr>
            <w:top w:val="none" w:sz="0" w:space="0" w:color="auto"/>
            <w:left w:val="none" w:sz="0" w:space="0" w:color="auto"/>
            <w:bottom w:val="none" w:sz="0" w:space="0" w:color="auto"/>
            <w:right w:val="none" w:sz="0" w:space="0" w:color="auto"/>
          </w:divBdr>
        </w:div>
        <w:div w:id="1906377036">
          <w:marLeft w:val="0"/>
          <w:marRight w:val="0"/>
          <w:marTop w:val="0"/>
          <w:marBottom w:val="0"/>
          <w:divBdr>
            <w:top w:val="none" w:sz="0" w:space="0" w:color="auto"/>
            <w:left w:val="none" w:sz="0" w:space="0" w:color="auto"/>
            <w:bottom w:val="none" w:sz="0" w:space="0" w:color="auto"/>
            <w:right w:val="none" w:sz="0" w:space="0" w:color="auto"/>
          </w:divBdr>
        </w:div>
        <w:div w:id="796533380">
          <w:marLeft w:val="0"/>
          <w:marRight w:val="0"/>
          <w:marTop w:val="0"/>
          <w:marBottom w:val="0"/>
          <w:divBdr>
            <w:top w:val="none" w:sz="0" w:space="0" w:color="auto"/>
            <w:left w:val="none" w:sz="0" w:space="0" w:color="auto"/>
            <w:bottom w:val="none" w:sz="0" w:space="0" w:color="auto"/>
            <w:right w:val="none" w:sz="0" w:space="0" w:color="auto"/>
          </w:divBdr>
        </w:div>
        <w:div w:id="1000083267">
          <w:marLeft w:val="0"/>
          <w:marRight w:val="0"/>
          <w:marTop w:val="0"/>
          <w:marBottom w:val="0"/>
          <w:divBdr>
            <w:top w:val="none" w:sz="0" w:space="0" w:color="auto"/>
            <w:left w:val="none" w:sz="0" w:space="0" w:color="auto"/>
            <w:bottom w:val="none" w:sz="0" w:space="0" w:color="auto"/>
            <w:right w:val="none" w:sz="0" w:space="0" w:color="auto"/>
          </w:divBdr>
        </w:div>
        <w:div w:id="758065052">
          <w:marLeft w:val="0"/>
          <w:marRight w:val="0"/>
          <w:marTop w:val="0"/>
          <w:marBottom w:val="0"/>
          <w:divBdr>
            <w:top w:val="none" w:sz="0" w:space="0" w:color="auto"/>
            <w:left w:val="none" w:sz="0" w:space="0" w:color="auto"/>
            <w:bottom w:val="none" w:sz="0" w:space="0" w:color="auto"/>
            <w:right w:val="none" w:sz="0" w:space="0" w:color="auto"/>
          </w:divBdr>
        </w:div>
        <w:div w:id="389773174">
          <w:marLeft w:val="0"/>
          <w:marRight w:val="0"/>
          <w:marTop w:val="0"/>
          <w:marBottom w:val="0"/>
          <w:divBdr>
            <w:top w:val="none" w:sz="0" w:space="0" w:color="auto"/>
            <w:left w:val="none" w:sz="0" w:space="0" w:color="auto"/>
            <w:bottom w:val="none" w:sz="0" w:space="0" w:color="auto"/>
            <w:right w:val="none" w:sz="0" w:space="0" w:color="auto"/>
          </w:divBdr>
        </w:div>
        <w:div w:id="643580507">
          <w:marLeft w:val="0"/>
          <w:marRight w:val="0"/>
          <w:marTop w:val="0"/>
          <w:marBottom w:val="0"/>
          <w:divBdr>
            <w:top w:val="none" w:sz="0" w:space="0" w:color="auto"/>
            <w:left w:val="none" w:sz="0" w:space="0" w:color="auto"/>
            <w:bottom w:val="none" w:sz="0" w:space="0" w:color="auto"/>
            <w:right w:val="none" w:sz="0" w:space="0" w:color="auto"/>
          </w:divBdr>
        </w:div>
        <w:div w:id="818038189">
          <w:marLeft w:val="0"/>
          <w:marRight w:val="0"/>
          <w:marTop w:val="0"/>
          <w:marBottom w:val="0"/>
          <w:divBdr>
            <w:top w:val="none" w:sz="0" w:space="0" w:color="auto"/>
            <w:left w:val="none" w:sz="0" w:space="0" w:color="auto"/>
            <w:bottom w:val="none" w:sz="0" w:space="0" w:color="auto"/>
            <w:right w:val="none" w:sz="0" w:space="0" w:color="auto"/>
          </w:divBdr>
        </w:div>
        <w:div w:id="259878928">
          <w:marLeft w:val="0"/>
          <w:marRight w:val="0"/>
          <w:marTop w:val="0"/>
          <w:marBottom w:val="0"/>
          <w:divBdr>
            <w:top w:val="none" w:sz="0" w:space="0" w:color="auto"/>
            <w:left w:val="none" w:sz="0" w:space="0" w:color="auto"/>
            <w:bottom w:val="none" w:sz="0" w:space="0" w:color="auto"/>
            <w:right w:val="none" w:sz="0" w:space="0" w:color="auto"/>
          </w:divBdr>
        </w:div>
        <w:div w:id="472721425">
          <w:marLeft w:val="0"/>
          <w:marRight w:val="0"/>
          <w:marTop w:val="0"/>
          <w:marBottom w:val="0"/>
          <w:divBdr>
            <w:top w:val="none" w:sz="0" w:space="0" w:color="auto"/>
            <w:left w:val="none" w:sz="0" w:space="0" w:color="auto"/>
            <w:bottom w:val="none" w:sz="0" w:space="0" w:color="auto"/>
            <w:right w:val="none" w:sz="0" w:space="0" w:color="auto"/>
          </w:divBdr>
        </w:div>
        <w:div w:id="1139343828">
          <w:marLeft w:val="0"/>
          <w:marRight w:val="0"/>
          <w:marTop w:val="0"/>
          <w:marBottom w:val="0"/>
          <w:divBdr>
            <w:top w:val="none" w:sz="0" w:space="0" w:color="auto"/>
            <w:left w:val="none" w:sz="0" w:space="0" w:color="auto"/>
            <w:bottom w:val="none" w:sz="0" w:space="0" w:color="auto"/>
            <w:right w:val="none" w:sz="0" w:space="0" w:color="auto"/>
          </w:divBdr>
        </w:div>
        <w:div w:id="847603480">
          <w:marLeft w:val="0"/>
          <w:marRight w:val="0"/>
          <w:marTop w:val="0"/>
          <w:marBottom w:val="0"/>
          <w:divBdr>
            <w:top w:val="none" w:sz="0" w:space="0" w:color="auto"/>
            <w:left w:val="none" w:sz="0" w:space="0" w:color="auto"/>
            <w:bottom w:val="none" w:sz="0" w:space="0" w:color="auto"/>
            <w:right w:val="none" w:sz="0" w:space="0" w:color="auto"/>
          </w:divBdr>
        </w:div>
        <w:div w:id="1946880829">
          <w:marLeft w:val="0"/>
          <w:marRight w:val="0"/>
          <w:marTop w:val="0"/>
          <w:marBottom w:val="0"/>
          <w:divBdr>
            <w:top w:val="none" w:sz="0" w:space="0" w:color="auto"/>
            <w:left w:val="none" w:sz="0" w:space="0" w:color="auto"/>
            <w:bottom w:val="none" w:sz="0" w:space="0" w:color="auto"/>
            <w:right w:val="none" w:sz="0" w:space="0" w:color="auto"/>
          </w:divBdr>
        </w:div>
        <w:div w:id="212231019">
          <w:marLeft w:val="0"/>
          <w:marRight w:val="0"/>
          <w:marTop w:val="0"/>
          <w:marBottom w:val="0"/>
          <w:divBdr>
            <w:top w:val="none" w:sz="0" w:space="0" w:color="auto"/>
            <w:left w:val="none" w:sz="0" w:space="0" w:color="auto"/>
            <w:bottom w:val="none" w:sz="0" w:space="0" w:color="auto"/>
            <w:right w:val="none" w:sz="0" w:space="0" w:color="auto"/>
          </w:divBdr>
        </w:div>
        <w:div w:id="704599501">
          <w:marLeft w:val="0"/>
          <w:marRight w:val="0"/>
          <w:marTop w:val="0"/>
          <w:marBottom w:val="0"/>
          <w:divBdr>
            <w:top w:val="none" w:sz="0" w:space="0" w:color="auto"/>
            <w:left w:val="none" w:sz="0" w:space="0" w:color="auto"/>
            <w:bottom w:val="none" w:sz="0" w:space="0" w:color="auto"/>
            <w:right w:val="none" w:sz="0" w:space="0" w:color="auto"/>
          </w:divBdr>
        </w:div>
      </w:divsChild>
    </w:div>
    <w:div w:id="512302063">
      <w:bodyDiv w:val="1"/>
      <w:marLeft w:val="0"/>
      <w:marRight w:val="0"/>
      <w:marTop w:val="0"/>
      <w:marBottom w:val="0"/>
      <w:divBdr>
        <w:top w:val="none" w:sz="0" w:space="0" w:color="auto"/>
        <w:left w:val="none" w:sz="0" w:space="0" w:color="auto"/>
        <w:bottom w:val="none" w:sz="0" w:space="0" w:color="auto"/>
        <w:right w:val="none" w:sz="0" w:space="0" w:color="auto"/>
      </w:divBdr>
    </w:div>
    <w:div w:id="1031227680">
      <w:bodyDiv w:val="1"/>
      <w:marLeft w:val="0"/>
      <w:marRight w:val="0"/>
      <w:marTop w:val="0"/>
      <w:marBottom w:val="0"/>
      <w:divBdr>
        <w:top w:val="none" w:sz="0" w:space="0" w:color="auto"/>
        <w:left w:val="none" w:sz="0" w:space="0" w:color="auto"/>
        <w:bottom w:val="none" w:sz="0" w:space="0" w:color="auto"/>
        <w:right w:val="none" w:sz="0" w:space="0" w:color="auto"/>
      </w:divBdr>
      <w:divsChild>
        <w:div w:id="1889297966">
          <w:marLeft w:val="0"/>
          <w:marRight w:val="0"/>
          <w:marTop w:val="0"/>
          <w:marBottom w:val="0"/>
          <w:divBdr>
            <w:top w:val="none" w:sz="0" w:space="0" w:color="auto"/>
            <w:left w:val="none" w:sz="0" w:space="0" w:color="auto"/>
            <w:bottom w:val="none" w:sz="0" w:space="0" w:color="auto"/>
            <w:right w:val="none" w:sz="0" w:space="0" w:color="auto"/>
          </w:divBdr>
        </w:div>
        <w:div w:id="530843213">
          <w:marLeft w:val="0"/>
          <w:marRight w:val="0"/>
          <w:marTop w:val="0"/>
          <w:marBottom w:val="0"/>
          <w:divBdr>
            <w:top w:val="none" w:sz="0" w:space="0" w:color="auto"/>
            <w:left w:val="none" w:sz="0" w:space="0" w:color="auto"/>
            <w:bottom w:val="none" w:sz="0" w:space="0" w:color="auto"/>
            <w:right w:val="none" w:sz="0" w:space="0" w:color="auto"/>
          </w:divBdr>
        </w:div>
        <w:div w:id="1104763729">
          <w:marLeft w:val="0"/>
          <w:marRight w:val="0"/>
          <w:marTop w:val="0"/>
          <w:marBottom w:val="0"/>
          <w:divBdr>
            <w:top w:val="none" w:sz="0" w:space="0" w:color="auto"/>
            <w:left w:val="none" w:sz="0" w:space="0" w:color="auto"/>
            <w:bottom w:val="none" w:sz="0" w:space="0" w:color="auto"/>
            <w:right w:val="none" w:sz="0" w:space="0" w:color="auto"/>
          </w:divBdr>
        </w:div>
        <w:div w:id="708918916">
          <w:marLeft w:val="0"/>
          <w:marRight w:val="0"/>
          <w:marTop w:val="0"/>
          <w:marBottom w:val="0"/>
          <w:divBdr>
            <w:top w:val="none" w:sz="0" w:space="0" w:color="auto"/>
            <w:left w:val="none" w:sz="0" w:space="0" w:color="auto"/>
            <w:bottom w:val="none" w:sz="0" w:space="0" w:color="auto"/>
            <w:right w:val="none" w:sz="0" w:space="0" w:color="auto"/>
          </w:divBdr>
        </w:div>
        <w:div w:id="627514765">
          <w:marLeft w:val="0"/>
          <w:marRight w:val="0"/>
          <w:marTop w:val="0"/>
          <w:marBottom w:val="0"/>
          <w:divBdr>
            <w:top w:val="none" w:sz="0" w:space="0" w:color="auto"/>
            <w:left w:val="none" w:sz="0" w:space="0" w:color="auto"/>
            <w:bottom w:val="none" w:sz="0" w:space="0" w:color="auto"/>
            <w:right w:val="none" w:sz="0" w:space="0" w:color="auto"/>
          </w:divBdr>
        </w:div>
        <w:div w:id="443157422">
          <w:marLeft w:val="0"/>
          <w:marRight w:val="0"/>
          <w:marTop w:val="0"/>
          <w:marBottom w:val="0"/>
          <w:divBdr>
            <w:top w:val="none" w:sz="0" w:space="0" w:color="auto"/>
            <w:left w:val="none" w:sz="0" w:space="0" w:color="auto"/>
            <w:bottom w:val="none" w:sz="0" w:space="0" w:color="auto"/>
            <w:right w:val="none" w:sz="0" w:space="0" w:color="auto"/>
          </w:divBdr>
        </w:div>
        <w:div w:id="821656625">
          <w:marLeft w:val="0"/>
          <w:marRight w:val="0"/>
          <w:marTop w:val="0"/>
          <w:marBottom w:val="0"/>
          <w:divBdr>
            <w:top w:val="none" w:sz="0" w:space="0" w:color="auto"/>
            <w:left w:val="none" w:sz="0" w:space="0" w:color="auto"/>
            <w:bottom w:val="none" w:sz="0" w:space="0" w:color="auto"/>
            <w:right w:val="none" w:sz="0" w:space="0" w:color="auto"/>
          </w:divBdr>
        </w:div>
        <w:div w:id="704989534">
          <w:marLeft w:val="0"/>
          <w:marRight w:val="0"/>
          <w:marTop w:val="0"/>
          <w:marBottom w:val="0"/>
          <w:divBdr>
            <w:top w:val="none" w:sz="0" w:space="0" w:color="auto"/>
            <w:left w:val="none" w:sz="0" w:space="0" w:color="auto"/>
            <w:bottom w:val="none" w:sz="0" w:space="0" w:color="auto"/>
            <w:right w:val="none" w:sz="0" w:space="0" w:color="auto"/>
          </w:divBdr>
        </w:div>
      </w:divsChild>
    </w:div>
    <w:div w:id="1051227186">
      <w:bodyDiv w:val="1"/>
      <w:marLeft w:val="0"/>
      <w:marRight w:val="0"/>
      <w:marTop w:val="0"/>
      <w:marBottom w:val="0"/>
      <w:divBdr>
        <w:top w:val="none" w:sz="0" w:space="0" w:color="auto"/>
        <w:left w:val="none" w:sz="0" w:space="0" w:color="auto"/>
        <w:bottom w:val="none" w:sz="0" w:space="0" w:color="auto"/>
        <w:right w:val="none" w:sz="0" w:space="0" w:color="auto"/>
      </w:divBdr>
    </w:div>
    <w:div w:id="13587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js.unisa.edu.au/index.php/IJEI/article/view/6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giarismadvice.org/conference/previous-plagiarism-conferences/4th-plagiarism-conference-20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js.unisa.edu.au/index.php/IJEI/article/view/6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nterbury.ac.uk/Support/learning-teaching-enhancement-unit/Policy/Plagiarism.aspx" TargetMode="External"/><Relationship Id="rId4" Type="http://schemas.openxmlformats.org/officeDocument/2006/relationships/settings" Target="settings.xml"/><Relationship Id="rId9" Type="http://schemas.openxmlformats.org/officeDocument/2006/relationships/hyperlink" Target="http://evidencenet.pbworks.com/Dealing-with-plagiarism-in-the-digital-age" TargetMode="External"/><Relationship Id="rId14" Type="http://schemas.openxmlformats.org/officeDocument/2006/relationships/hyperlink" Target="http://www.plagiarismadvice.org/conference/previous-plagiarism-conferences/4th-plagiarism-conference-201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urvey.bris.ac.uk" TargetMode="External"/><Relationship Id="rId1" Type="http://schemas.openxmlformats.org/officeDocument/2006/relationships/hyperlink" Target="http://www.canterbury.ac.uk/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2F07-2327-4F29-985C-719CC03C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4952</Words>
  <Characters>28230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Efficacy of Turnitin in Support of an Institutional Plagiarism Policy.A report for plagiarismadvice.org on research conducted at Canterbury Christ Church University.</dc:title>
  <dc:creator>Canterbury Christ Church University</dc:creator>
  <cp:lastModifiedBy>simon</cp:lastModifiedBy>
  <cp:revision>5</cp:revision>
  <cp:lastPrinted>2011-05-26T08:43:00Z</cp:lastPrinted>
  <dcterms:created xsi:type="dcterms:W3CDTF">2011-05-26T08:30:00Z</dcterms:created>
  <dcterms:modified xsi:type="dcterms:W3CDTF">2011-05-26T08:46:00Z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